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6.11.2.3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bookmarkStart w:id="5" w:name="_GoBack"/>
      <w:bookmarkEnd w:id="5"/>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color w:val="auto"/>
          <w:sz w:val="21"/>
          <w:szCs w:val="21"/>
          <w:lang w:val="zh-CN"/>
        </w:rPr>
        <w:t>network controlled small gap</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rPr>
            </w:pPr>
            <w:r>
              <w:rPr>
                <w:rFonts w:hint="eastAsia" w:ascii="Times New Roman" w:hAnsi="Times New Roman" w:cs="Times New Roman"/>
                <w:b/>
                <w:bCs/>
                <w:color w:val="auto"/>
                <w:sz w:val="24"/>
                <w:szCs w:val="24"/>
                <w:u w:val="single"/>
                <w:lang w:val="en-US"/>
              </w:rPr>
              <w:t>Scenarios and use cases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for dormant SCell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NCSG for CQI measurement for dormant Scell is not supported in R17. FFS for RRM measurement for dormant SSell.</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under NE-DC and NR-DC</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Feasibility from requirement perspective of NCSG in EN-DC, NE-DC and NR-DC is FFS.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NCSG in FR2</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is applicable in FR2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Option 1: NCSG is applicable only when the following conditions hold</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serving cell(s) and the target cell are on different bands.</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UE is performing IBM on the serving cell band and the target cell band.</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UE has a spared chain for target cell measurement</w:t>
            </w:r>
          </w:p>
          <w:p>
            <w:pPr>
              <w:keepNext w:val="0"/>
              <w:keepLines w:val="0"/>
              <w:pageBreakBefore w:val="0"/>
              <w:numPr>
                <w:ilvl w:val="2"/>
                <w:numId w:val="4"/>
              </w:numPr>
              <w:kinsoku/>
              <w:wordWrap/>
              <w:overflowPunct/>
              <w:topLinePunct w:val="0"/>
              <w:autoSpaceDE/>
              <w:autoSpaceDN/>
              <w:bidi w:val="0"/>
              <w:adjustRightInd/>
              <w:snapToGrid/>
              <w:ind w:left="222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FFS for additional conditions</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Option 2: No additional conditions are required</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Option 3: Additional network assistance is introduced to enable NCSG in FR2</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eastAsia="zh-TW"/>
              </w:rPr>
            </w:pPr>
            <w:r>
              <w:rPr>
                <w:rFonts w:hint="eastAsia" w:ascii="Times New Roman" w:hAnsi="Times New Roman" w:cs="Times New Roman"/>
                <w:b/>
                <w:bCs/>
                <w:color w:val="auto"/>
                <w:sz w:val="24"/>
                <w:szCs w:val="24"/>
                <w:u w:val="single"/>
                <w:lang w:val="en-US" w:eastAsia="zh-TW"/>
              </w:rPr>
              <w:t>NCSG pattern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how to define NCSG patterns</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NOT consider VIL as a part of NCSG pattern, i.e. only keep measurement length and repetition periodicity in the pattern design, and capture VIL separately as interruption requirements (similar to Table 9.1.2-4 in TS38.133).</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patterns for sync and async</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Same NCSG pattern can apply for both sync and async scenario.</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VIL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confirms the agreement in RAN4#100e regarding length of VIL:</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Translate [1ms] (FR1) and [0.75ms] (FR2) into the number of interrupted slots for defining the interruption requirements for the synchronous case and one more slot is added for asynchronous case.</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Exact number of interrupted slots will be discussed directly on CR in next meeting.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ML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MLNCSG = MGLlegacy – 2*RRT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RRT</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is to clarify that existing RRT (0.5 ms for FR1 and 0.25 ms in FR2) also applies for NCSG. RAN4 will not define any dedicated RRT for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On top of #0 and #1, whether additional NCSG gap patterns shall be mandatorily supported if UE supports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patterns corresponding to legacy patterns #0 and #1 are mandatorily supported if UE supports NCSG.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FFS on whether other NCSG patterns are mandatorily supported.</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FFS on whether existing gap applicability in Rel-16 for NR-only measurement can apply for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feasibility of NCSG patterns with long VIRP</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patterns with the longer MGRP (&gt;160ms) can be deferred to the further release.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feasibility of NCSG patterns with short ML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confirms the agreements in RAN4#100e: Define NCSG patterns corresponding to legacy patterns #0~#23. RAN4 will not further discuss the feasibility of NCSG patterns with short ML.</w:t>
            </w:r>
          </w:p>
          <w:p>
            <w:pPr>
              <w:pStyle w:val="26"/>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宋体" w:cs="Times New Roman"/>
                <w:b/>
                <w:bCs/>
                <w:color w:val="auto"/>
                <w:kern w:val="0"/>
                <w:sz w:val="24"/>
                <w:szCs w:val="24"/>
                <w:u w:val="single"/>
                <w:lang w:val="en-US" w:eastAsia="zh-TW" w:bidi="ar-SA"/>
              </w:rPr>
            </w:pPr>
            <w:r>
              <w:rPr>
                <w:rFonts w:hint="eastAsia" w:ascii="Times New Roman" w:hAnsi="Times New Roman" w:eastAsia="宋体" w:cs="Times New Roman"/>
                <w:b/>
                <w:bCs/>
                <w:color w:val="auto"/>
                <w:kern w:val="0"/>
                <w:sz w:val="24"/>
                <w:szCs w:val="24"/>
                <w:u w:val="single"/>
                <w:lang w:val="en-US" w:eastAsia="zh-TW" w:bidi="ar-SA"/>
              </w:rPr>
              <w:t>UE capability and NW configuration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how to indicate support of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how to indicate UE capability to support of NCSG feature before NW inquiring</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Introduce a general UE capability for support of NCSG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how indicate the support of NCSG</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UE can report three different capabilities: ‘no-gap-no-ncsg’, ’ncsg’ and ‘gap’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support reporting granularity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Per band in a band combination for inter-frequency measurement (same granularity as NeedForGap)</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whether to use RRCReconfigurationComplete based framework</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Up to RAN2</w:t>
            </w:r>
          </w:p>
          <w:p>
            <w:pPr>
              <w:pStyle w:val="26"/>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Times New Roman" w:hAnsi="Times New Roman" w:eastAsia="宋体" w:cs="Times New Roman"/>
                <w:b/>
                <w:bCs/>
                <w:color w:val="auto"/>
                <w:kern w:val="0"/>
                <w:sz w:val="24"/>
                <w:szCs w:val="24"/>
                <w:u w:val="single"/>
                <w:lang w:val="en-US" w:eastAsia="zh-TW" w:bidi="ar-SA"/>
              </w:rPr>
            </w:pPr>
            <w:r>
              <w:rPr>
                <w:rFonts w:hint="eastAsia" w:ascii="Times New Roman" w:hAnsi="Times New Roman" w:cs="Times New Roman"/>
                <w:b/>
                <w:bCs/>
                <w:color w:val="auto"/>
                <w:kern w:val="0"/>
                <w:sz w:val="24"/>
                <w:szCs w:val="24"/>
                <w:u w:val="single"/>
                <w:lang w:val="en-US" w:eastAsia="zh-CN" w:bidi="ar-SA"/>
              </w:rPr>
              <w:t>M</w:t>
            </w:r>
            <w:r>
              <w:rPr>
                <w:rFonts w:hint="eastAsia" w:ascii="Times New Roman" w:hAnsi="Times New Roman" w:eastAsia="宋体" w:cs="Times New Roman"/>
                <w:b/>
                <w:bCs/>
                <w:color w:val="auto"/>
                <w:kern w:val="0"/>
                <w:sz w:val="24"/>
                <w:szCs w:val="24"/>
                <w:u w:val="single"/>
                <w:lang w:val="en-US" w:eastAsia="zh-TW" w:bidi="ar-SA"/>
              </w:rPr>
              <w:t>easurement related requirements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CSSF design</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 new CSSF will be introduced dedicated for NCSG measurement.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other measurement requirements</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If the SSB of the inter-frequency layer is within UE’s active BWP, whether UE can perform gapless measurement is determined by Rel-16 feature 9-4 ‘SSB based inter-frequency measurement without measurement gap’. Otherwise, it is determined by NCSG reporting.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From requirement perspective, RAN4 will introduce NCSG based measurement requirements for the following cases: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Network can configure per UE NCSG only when UE can measure all the frequency layers (except intra-frequency and inter-frequency w/o gap) by NCSG for a per-UE gap UE.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Network can configure per FR NCSG only when UE can measure all the frequency layers (except intra-frequency and inter-frequency w/o gap) by NCSG in the FR for per-FR gap UE. </w:t>
            </w:r>
          </w:p>
          <w:p>
            <w:pPr>
              <w:keepNext w:val="0"/>
              <w:keepLines w:val="0"/>
              <w:pageBreakBefore w:val="0"/>
              <w:numPr>
                <w:ilvl w:val="1"/>
                <w:numId w:val="4"/>
              </w:numPr>
              <w:kinsoku/>
              <w:wordWrap/>
              <w:overflowPunct/>
              <w:topLinePunct w:val="0"/>
              <w:autoSpaceDE/>
              <w:autoSpaceDN/>
              <w:bidi w:val="0"/>
              <w:adjustRightInd/>
              <w:snapToGrid/>
              <w:ind w:left="150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Note: even UE reports it can measure all frequency layers with NCSG, NW may still configure legacy MG. For this case, legacy RRM requirement can apply.</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When deactivated SCC measurements are based on NCSG, they should be considered in the CSSF within NCSG.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The requirements apply provided that SMTC on deactivated SCC are within ML of NCSG. </w:t>
            </w:r>
          </w:p>
          <w:p>
            <w:pPr>
              <w:pStyle w:val="26"/>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Times New Roman" w:hAnsi="Times New Roman" w:cs="Times New Roman"/>
                <w:b/>
                <w:bCs/>
                <w:color w:val="auto"/>
                <w:kern w:val="0"/>
                <w:sz w:val="24"/>
                <w:szCs w:val="24"/>
                <w:u w:val="single"/>
                <w:lang w:val="en-US" w:eastAsia="zh-TW" w:bidi="ar-SA"/>
              </w:rPr>
            </w:pPr>
            <w:r>
              <w:rPr>
                <w:rFonts w:hint="eastAsia" w:ascii="Times New Roman" w:hAnsi="Times New Roman" w:cs="Times New Roman"/>
                <w:b/>
                <w:bCs/>
                <w:color w:val="auto"/>
                <w:kern w:val="0"/>
                <w:sz w:val="24"/>
                <w:szCs w:val="24"/>
                <w:u w:val="single"/>
                <w:lang w:val="en-US" w:eastAsia="zh-TW" w:bidi="ar-SA"/>
              </w:rPr>
              <w:t>others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NCSG for measurement on deactivation SCell</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existing interruption requirements for de-activated Scell measurement are not applicable to the Ues configured with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 interruption besides VIL are allowed due to measurement on deactivated SCC or due to measurement on any carriers using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transformation between NCSG and legacy gap</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It is FFS whether to define transformation between NCSG and legacy gap. </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Note: Companies are encouraged to provide more input in the next meeting, covering the purpose of such transformation, triggering mechanism (such as RRC or MAC-CE) and etc.</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UL slot after VIL1</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Whether to transmit in the UL slot immediately after VIL1 is up to UE implementation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impact from RTD between time reference cell and victim cell on the VIL requirements for NCSG.</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 need to further consider impact from RTD between time reference cell and victim cell on the VIL requirements for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LS to RAN2</w:t>
            </w:r>
          </w:p>
          <w:p>
            <w:pPr>
              <w:keepNext w:val="0"/>
              <w:keepLines w:val="0"/>
              <w:pageBreakBefore w:val="0"/>
              <w:numPr>
                <w:ilvl w:val="0"/>
                <w:numId w:val="4"/>
              </w:numPr>
              <w:kinsoku/>
              <w:wordWrap/>
              <w:overflowPunct/>
              <w:topLinePunct w:val="0"/>
              <w:autoSpaceDE/>
              <w:autoSpaceDN/>
              <w:bidi w:val="0"/>
              <w:adjustRightInd/>
              <w:snapToGrid/>
              <w:ind w:left="780" w:leftChars="0" w:hanging="360" w:firstLineChars="0"/>
              <w:jc w:val="both"/>
              <w:textAlignment w:val="auto"/>
              <w:rPr>
                <w:rFonts w:hint="eastAsia" w:eastAsia="宋体" w:asciiTheme="minorHAnsi" w:hAnsiTheme="minorHAnsi" w:cstheme="minorHAnsi"/>
                <w:b/>
                <w:bCs/>
                <w:iCs/>
                <w:u w:val="single"/>
                <w:lang w:val="en-US" w:eastAsia="zh-CN"/>
              </w:rPr>
            </w:pPr>
            <w:r>
              <w:rPr>
                <w:rFonts w:hint="eastAsia" w:ascii="Times New Roman" w:hAnsi="Times New Roman" w:eastAsia="宋体" w:cs="Times New Roman"/>
                <w:color w:val="auto"/>
                <w:kern w:val="0"/>
                <w:sz w:val="18"/>
                <w:szCs w:val="18"/>
                <w:lang w:val="en-US" w:eastAsia="zh-CN" w:bidi="ar-SA"/>
              </w:rPr>
              <w:t>RAN4 will send a liaison to RAN2 in RAN4#101e to inform RAN2 with RAN4 agreements on NCSG design.</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open issues.</w:t>
      </w:r>
    </w:p>
    <w:p>
      <w:pPr>
        <w:pStyle w:val="14"/>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Scenarios and use cases</w:t>
      </w:r>
    </w:p>
    <w:p>
      <w:pPr>
        <w:pStyle w:val="14"/>
        <w:numPr>
          <w:ilvl w:val="0"/>
          <w:numId w:val="6"/>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NCSG in FR2</w:t>
      </w:r>
    </w:p>
    <w:p>
      <w:pPr>
        <w:pStyle w:val="14"/>
        <w:numPr>
          <w:ilvl w:val="0"/>
          <w:numId w:val="6"/>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For CSI-RS based inter-f measurement</w:t>
      </w:r>
    </w:p>
    <w:p>
      <w:pPr>
        <w:pStyle w:val="14"/>
        <w:numPr>
          <w:ilvl w:val="0"/>
          <w:numId w:val="6"/>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NCSG under NE-DC</w:t>
      </w:r>
      <w:r>
        <w:rPr>
          <w:rFonts w:hint="eastAsia" w:ascii="Times New Roman" w:hAnsi="Times New Roman" w:cs="Times New Roman"/>
          <w:color w:val="auto"/>
          <w:sz w:val="20"/>
          <w:szCs w:val="20"/>
          <w:lang w:val="en-US" w:eastAsia="zh-CN" w:bidi="ar-SA"/>
        </w:rPr>
        <w:t xml:space="preserve">, EN-DC </w:t>
      </w:r>
      <w:r>
        <w:rPr>
          <w:rFonts w:hint="default" w:ascii="Times New Roman" w:hAnsi="Times New Roman" w:eastAsia="宋体" w:cs="Times New Roman"/>
          <w:color w:val="auto"/>
          <w:sz w:val="20"/>
          <w:szCs w:val="20"/>
          <w:lang w:val="en-US" w:eastAsia="zh-CN" w:bidi="ar-SA"/>
        </w:rPr>
        <w:t>and NR-DC</w:t>
      </w:r>
    </w:p>
    <w:p>
      <w:pPr>
        <w:pStyle w:val="14"/>
        <w:numPr>
          <w:ilvl w:val="1"/>
          <w:numId w:val="5"/>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UE capability and network configuration of NCSG</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NW configuration and corresponding UE behaviour </w:t>
      </w:r>
    </w:p>
    <w:p>
      <w:pPr>
        <w:pStyle w:val="14"/>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M</w:t>
      </w:r>
      <w:r>
        <w:rPr>
          <w:rFonts w:hint="eastAsia" w:ascii="Times New Roman" w:hAnsi="Times New Roman" w:eastAsia="宋体" w:cs="Times New Roman"/>
          <w:color w:val="auto"/>
          <w:sz w:val="20"/>
          <w:szCs w:val="20"/>
          <w:lang w:val="en-US" w:eastAsia="zh-TW" w:bidi="ar-SA"/>
        </w:rPr>
        <w:t>easurement related requirements</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scheduling restriction</w:t>
      </w:r>
    </w:p>
    <w:p>
      <w:pPr>
        <w:pStyle w:val="14"/>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Others</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transformation between NCSG and legacy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lang w:val="en-US" w:eastAsia="zh-CN"/>
        </w:rPr>
      </w:pPr>
      <w:r>
        <w:rPr>
          <w:rFonts w:hint="eastAsia"/>
          <w:color w:val="auto"/>
          <w:sz w:val="28"/>
          <w:szCs w:val="28"/>
          <w:lang w:val="en-US" w:eastAsia="zh-CN"/>
        </w:rPr>
        <w:t>2.1 Scenarios and use cases</w:t>
      </w: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NCSG in FR2</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As agreed in 101 meeting, NCSG is applicable in FR2, but since the support of NCSG is somehow related to the support of IBM in FR2, so the application condition should be specified. The following considerations discussed during 101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8"/>
              </w:numPr>
              <w:kinsoku/>
              <w:wordWrap/>
              <w:topLinePunct w:val="0"/>
              <w:bidi w:val="0"/>
              <w:snapToGrid/>
              <w:ind w:left="420" w:leftChars="0" w:hanging="420" w:firstLineChars="0"/>
              <w:rPr>
                <w:rFonts w:hint="default"/>
                <w:lang w:val="en-US" w:eastAsia="zh-CN"/>
              </w:rPr>
            </w:pPr>
            <w:r>
              <w:rPr>
                <w:rFonts w:hint="default"/>
                <w:lang w:val="en-US" w:eastAsia="zh-CN"/>
              </w:rPr>
              <w:t xml:space="preserve">NCSG is applicable in FR2 </w:t>
            </w:r>
          </w:p>
          <w:p>
            <w:pPr>
              <w:pStyle w:val="26"/>
              <w:keepNext w:val="0"/>
              <w:keepLines w:val="0"/>
              <w:pageBreakBefore w:val="0"/>
              <w:widowControl w:val="0"/>
              <w:numPr>
                <w:ilvl w:val="1"/>
                <w:numId w:val="9"/>
              </w:numPr>
              <w:kinsoku/>
              <w:wordWrap/>
              <w:topLinePunct w:val="0"/>
              <w:bidi w:val="0"/>
              <w:snapToGrid/>
              <w:spacing w:after="0"/>
              <w:ind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Option 1: NCSG is applicable only when the following conditions hold</w:t>
            </w:r>
          </w:p>
          <w:p>
            <w:pPr>
              <w:keepNext w:val="0"/>
              <w:keepLines w:val="0"/>
              <w:pageBreakBefore w:val="0"/>
              <w:widowControl w:val="0"/>
              <w:numPr>
                <w:ilvl w:val="2"/>
                <w:numId w:val="10"/>
              </w:numPr>
              <w:tabs>
                <w:tab w:val="left" w:pos="420"/>
                <w:tab w:val="clear" w:pos="1260"/>
              </w:tabs>
              <w:kinsoku/>
              <w:wordWrap/>
              <w:topLinePunct w:val="0"/>
              <w:bidi w:val="0"/>
              <w:snapToGrid/>
              <w:ind w:left="1680" w:leftChars="0"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The serving cell(s) and the target cell are on different bands.</w:t>
            </w:r>
          </w:p>
          <w:p>
            <w:pPr>
              <w:keepNext w:val="0"/>
              <w:keepLines w:val="0"/>
              <w:pageBreakBefore w:val="0"/>
              <w:widowControl w:val="0"/>
              <w:numPr>
                <w:ilvl w:val="2"/>
                <w:numId w:val="10"/>
              </w:numPr>
              <w:tabs>
                <w:tab w:val="left" w:pos="420"/>
                <w:tab w:val="clear" w:pos="1260"/>
              </w:tabs>
              <w:kinsoku/>
              <w:wordWrap/>
              <w:topLinePunct w:val="0"/>
              <w:bidi w:val="0"/>
              <w:snapToGrid/>
              <w:ind w:left="1680" w:leftChars="0"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UE is performing IBM on the serving cell band and the target cell band.</w:t>
            </w:r>
          </w:p>
          <w:p>
            <w:pPr>
              <w:keepNext w:val="0"/>
              <w:keepLines w:val="0"/>
              <w:pageBreakBefore w:val="0"/>
              <w:widowControl w:val="0"/>
              <w:numPr>
                <w:ilvl w:val="2"/>
                <w:numId w:val="10"/>
              </w:numPr>
              <w:tabs>
                <w:tab w:val="left" w:pos="420"/>
                <w:tab w:val="clear" w:pos="1260"/>
              </w:tabs>
              <w:kinsoku/>
              <w:wordWrap/>
              <w:topLinePunct w:val="0"/>
              <w:bidi w:val="0"/>
              <w:snapToGrid/>
              <w:ind w:left="1680" w:leftChars="0"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UE has a spared chain for target cell measurement</w:t>
            </w:r>
          </w:p>
          <w:p>
            <w:pPr>
              <w:keepNext w:val="0"/>
              <w:keepLines w:val="0"/>
              <w:pageBreakBefore w:val="0"/>
              <w:widowControl w:val="0"/>
              <w:numPr>
                <w:ilvl w:val="2"/>
                <w:numId w:val="10"/>
              </w:numPr>
              <w:tabs>
                <w:tab w:val="left" w:pos="420"/>
                <w:tab w:val="clear" w:pos="1260"/>
              </w:tabs>
              <w:kinsoku/>
              <w:wordWrap/>
              <w:topLinePunct w:val="0"/>
              <w:bidi w:val="0"/>
              <w:snapToGrid/>
              <w:ind w:left="1680" w:leftChars="0"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FFS for additional conditions</w:t>
            </w:r>
          </w:p>
          <w:p>
            <w:pPr>
              <w:pStyle w:val="26"/>
              <w:keepNext w:val="0"/>
              <w:keepLines w:val="0"/>
              <w:pageBreakBefore w:val="0"/>
              <w:widowControl w:val="0"/>
              <w:numPr>
                <w:ilvl w:val="1"/>
                <w:numId w:val="9"/>
              </w:numPr>
              <w:kinsoku/>
              <w:wordWrap/>
              <w:topLinePunct w:val="0"/>
              <w:bidi w:val="0"/>
              <w:snapToGrid/>
              <w:spacing w:after="0"/>
              <w:ind w:hanging="420" w:firstLineChars="0"/>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Option 2: No additional conditions are required</w:t>
            </w:r>
          </w:p>
          <w:p>
            <w:pPr>
              <w:pStyle w:val="26"/>
              <w:keepNext w:val="0"/>
              <w:keepLines w:val="0"/>
              <w:pageBreakBefore w:val="0"/>
              <w:widowControl w:val="0"/>
              <w:numPr>
                <w:ilvl w:val="1"/>
                <w:numId w:val="9"/>
              </w:numPr>
              <w:kinsoku/>
              <w:wordWrap/>
              <w:topLinePunct w:val="0"/>
              <w:bidi w:val="0"/>
              <w:snapToGrid/>
              <w:spacing w:after="0"/>
              <w:ind w:hanging="420" w:firstLineChars="0"/>
              <w:rPr>
                <w:rFonts w:hint="default" w:eastAsia="宋体"/>
                <w:color w:val="auto"/>
                <w:sz w:val="21"/>
                <w:szCs w:val="21"/>
                <w:vertAlign w:val="baseline"/>
                <w:lang w:val="en-US" w:eastAsia="zh-CN"/>
              </w:rPr>
            </w:pPr>
            <w:r>
              <w:rPr>
                <w:rFonts w:hint="default" w:ascii="Times New Roman" w:hAnsi="Times New Roman" w:eastAsia="宋体" w:cs="Times New Roman"/>
                <w:color w:val="auto"/>
                <w:kern w:val="0"/>
                <w:sz w:val="21"/>
                <w:szCs w:val="21"/>
                <w:lang w:val="en-US" w:eastAsia="zh-CN" w:bidi="ar-SA"/>
              </w:rPr>
              <w:t>Option 3: Additional network assistance is introduced to enable NCSG in FR2</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As analyzed during 101 meeting, the common understanding is that in order to apply NCSG in FR2, an idle RF chain is needed, except that, IBM capability is also necessary. Based on these, we believe Option 1 is reasonable. All related aspects are covered by Option 1, which can be summarized as NCSG in FR2 is only supported for the case that UE is capable of IBM for the band of serving cell and the band of target cell, further more, there is an idle chain used for target cell measurement. For Option 3, which is not the condition of applying NCSG in FR2, but some additional assistance mechanism for the applying of NCSG in FR2. But such additional assistance is still need further discussion. So, we suggest Option 1 can be used of the condition for application of NCSG in FR2.</w:t>
      </w:r>
    </w:p>
    <w:p>
      <w:pPr>
        <w:jc w:val="both"/>
        <w:rPr>
          <w:rFonts w:hint="default" w:eastAsia="宋体" w:cs="Times New Roman"/>
          <w:b/>
          <w:bCs/>
          <w:color w:val="auto"/>
          <w:sz w:val="21"/>
          <w:szCs w:val="21"/>
          <w:highlight w:val="none"/>
          <w:lang w:val="en-US" w:eastAsia="zh-CN" w:bidi="ar-SA"/>
        </w:rPr>
      </w:pPr>
      <w:bookmarkStart w:id="1" w:name="OLE_LINK2"/>
      <w:r>
        <w:rPr>
          <w:rFonts w:hint="eastAsia" w:eastAsia="宋体" w:cs="Times New Roman"/>
          <w:b/>
          <w:bCs/>
          <w:color w:val="auto"/>
          <w:sz w:val="21"/>
          <w:szCs w:val="21"/>
          <w:highlight w:val="none"/>
          <w:lang w:val="en-US" w:eastAsia="zh-CN" w:bidi="ar-SA"/>
        </w:rPr>
        <w:t>Proposal 1: All related aspects have been covered in Option 1. We believe Option 1 can be the conditions of application of NCSG in FR2.</w:t>
      </w:r>
    </w:p>
    <w:bookmarkEnd w:id="1"/>
    <w:p>
      <w:pPr>
        <w:rPr>
          <w:rFonts w:hint="eastAsia" w:eastAsia="宋体"/>
          <w:b/>
          <w:bCs/>
          <w:color w:val="auto"/>
          <w:sz w:val="21"/>
          <w:szCs w:val="21"/>
          <w:u w:val="single"/>
          <w:lang w:val="en-US" w:eastAsia="zh-CN"/>
        </w:rPr>
      </w:pP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For CSI-RS based inter-f measurement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CSI-RS based inter-frequency measurement with gap, it is similar with the case of SSB based inter-frequency measurement with gap. We do not have any technical factor to refuse the application of NCSG to CSI-RS based inter-f measurement. However, similar as the discussion procedure of measurement gap in NR early version, we can first prioritize the SSB based measurement, once SSB-based measurement is identified, then extent to CSI-RS based measurement. So, first focus on applying NCSG to the SSB-based measurement, which is recommended by us.    </w:t>
      </w:r>
    </w:p>
    <w:p>
      <w:pPr>
        <w:jc w:val="both"/>
        <w:rPr>
          <w:rFonts w:hint="default" w:eastAsia="宋体" w:cs="Times New Roman"/>
          <w:b/>
          <w:bCs/>
          <w:color w:val="auto"/>
          <w:sz w:val="21"/>
          <w:szCs w:val="21"/>
          <w:highlight w:val="none"/>
          <w:lang w:val="en-US" w:eastAsia="zh-CN" w:bidi="ar-SA"/>
        </w:rPr>
      </w:pPr>
      <w:bookmarkStart w:id="2" w:name="OLE_LINK3"/>
      <w:r>
        <w:rPr>
          <w:rFonts w:hint="eastAsia" w:eastAsia="宋体" w:cs="Times New Roman"/>
          <w:b/>
          <w:bCs/>
          <w:color w:val="auto"/>
          <w:sz w:val="21"/>
          <w:szCs w:val="21"/>
          <w:highlight w:val="none"/>
          <w:lang w:val="en-US" w:eastAsia="zh-CN" w:bidi="ar-SA"/>
        </w:rPr>
        <w:t xml:space="preserve">Proposal 2: </w:t>
      </w:r>
      <w:bookmarkEnd w:id="2"/>
      <w:r>
        <w:rPr>
          <w:rFonts w:hint="eastAsia" w:eastAsia="宋体" w:cs="Times New Roman"/>
          <w:b/>
          <w:bCs/>
          <w:color w:val="auto"/>
          <w:sz w:val="21"/>
          <w:szCs w:val="21"/>
          <w:highlight w:val="none"/>
          <w:lang w:val="en-US" w:eastAsia="zh-CN" w:bidi="ar-SA"/>
        </w:rPr>
        <w:t>De-prioritize the CSI-RS based inter-f measurement, until the discussion of applying of NCSG to SSB-based measurement finished. Or considering the NCSG for CSI-RS based measurement in Rel-18 MG enhancement.</w:t>
      </w:r>
    </w:p>
    <w:p>
      <w:pPr>
        <w:rPr>
          <w:rFonts w:hint="eastAsia" w:eastAsia="宋体"/>
          <w:b/>
          <w:bCs/>
          <w:color w:val="auto"/>
          <w:sz w:val="21"/>
          <w:szCs w:val="21"/>
          <w:u w:val="single"/>
          <w:lang w:val="en-US" w:eastAsia="zh-CN"/>
        </w:rPr>
      </w:pPr>
    </w:p>
    <w:p>
      <w:pPr>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NCSG under NE-DC, EN-DC and NR-DC</w:t>
      </w:r>
    </w:p>
    <w:p>
      <w:pPr>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During Rel-17, considering the timeline is very pressing, maybe we do not have enough time to discuss NCSG in DC scenario. The mechanism of NeedForGap can be good reference for the discussion of multiple aspects in Rel-17 NCSG. Right now, NeedForGap can not support DC scenario. So, some further study on how to applying NCSG in DC scenario can be continued during Rel-18 phase. Of course, the suggestions from RAN2 is always welcome.   </w:t>
      </w:r>
    </w:p>
    <w:p>
      <w:pPr>
        <w:rPr>
          <w:rFonts w:hint="default" w:ascii="Times New Roman" w:hAnsi="Times New Roman" w:eastAsia="宋体" w:cs="Times New Roman"/>
          <w:color w:val="auto"/>
          <w:sz w:val="21"/>
          <w:szCs w:val="21"/>
          <w:lang w:val="en-US" w:eastAsia="zh-CN" w:bidi="ar-SA"/>
        </w:rPr>
      </w:pPr>
      <w:bookmarkStart w:id="3" w:name="OLE_LINK5"/>
      <w:r>
        <w:rPr>
          <w:rFonts w:hint="eastAsia" w:ascii="Times New Roman" w:hAnsi="Times New Roman" w:eastAsia="宋体" w:cs="Times New Roman"/>
          <w:color w:val="auto"/>
          <w:sz w:val="21"/>
          <w:szCs w:val="21"/>
          <w:lang w:val="en-US" w:eastAsia="zh-CN" w:bidi="ar-SA"/>
        </w:rPr>
        <w:t xml:space="preserve">In </w:t>
      </w:r>
      <w:bookmarkEnd w:id="3"/>
      <w:r>
        <w:rPr>
          <w:rFonts w:hint="eastAsia" w:ascii="Times New Roman" w:hAnsi="Times New Roman" w:eastAsia="宋体" w:cs="Times New Roman"/>
          <w:color w:val="auto"/>
          <w:sz w:val="21"/>
          <w:szCs w:val="21"/>
          <w:lang w:val="en-US" w:eastAsia="zh-CN" w:bidi="ar-SA"/>
        </w:rPr>
        <w:t>DC scenario, gap reconfiguration, MO reconfiguration and SCell addition/release, all these updates should be considered comprehensively, each of them would impact the applicability of NCSG. Whether one CG can know the other CG</w:t>
      </w:r>
      <w:r>
        <w:rPr>
          <w:rFonts w:hint="default" w:ascii="Times New Roman" w:hAnsi="Times New Roman" w:eastAsia="宋体" w:cs="Times New Roman"/>
          <w:color w:val="auto"/>
          <w:sz w:val="21"/>
          <w:szCs w:val="21"/>
          <w:lang w:val="en-US" w:eastAsia="zh-CN" w:bidi="ar-SA"/>
        </w:rPr>
        <w:t>’</w:t>
      </w:r>
      <w:r>
        <w:rPr>
          <w:rFonts w:hint="eastAsia" w:ascii="Times New Roman" w:hAnsi="Times New Roman" w:eastAsia="宋体" w:cs="Times New Roman"/>
          <w:color w:val="auto"/>
          <w:sz w:val="21"/>
          <w:szCs w:val="21"/>
          <w:lang w:val="en-US" w:eastAsia="zh-CN" w:bidi="ar-SA"/>
        </w:rPr>
        <w:t>s configuration update? Which type of configuration update would happen more frequently? After all these details clarified, RAN4 would have enough basis to identify the feasibility of NCSG in DC scenario. So, seek for the advise from RAN2 is an efficient choice.</w:t>
      </w:r>
    </w:p>
    <w:p>
      <w:pPr>
        <w:rPr>
          <w:rFonts w:hint="default"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identify the feasibility of NCSG in EN-DC, NE-DC and NR-DC, some configuration update clarification is needed from RAN2 group.</w:t>
      </w:r>
    </w:p>
    <w:p>
      <w:pPr>
        <w:pStyle w:val="3"/>
        <w:bidi w:val="0"/>
        <w:rPr>
          <w:rFonts w:hint="eastAsia"/>
          <w:color w:val="auto"/>
          <w:sz w:val="28"/>
          <w:szCs w:val="28"/>
          <w:lang w:val="en-US" w:eastAsia="zh-CN"/>
        </w:rPr>
      </w:pPr>
      <w:r>
        <w:rPr>
          <w:rFonts w:hint="eastAsia"/>
          <w:color w:val="auto"/>
          <w:sz w:val="28"/>
          <w:szCs w:val="28"/>
          <w:lang w:val="en-US" w:eastAsia="zh-CN"/>
        </w:rPr>
        <w:t>2.2 UE capability and network configuration of NCSG</w:t>
      </w:r>
    </w:p>
    <w:p>
      <w:pPr>
        <w:rPr>
          <w:rFonts w:hint="default" w:eastAsia="宋体" w:cs="Times New Roman"/>
          <w:color w:val="auto"/>
          <w:sz w:val="21"/>
          <w:szCs w:val="21"/>
          <w:lang w:val="en-US" w:eastAsia="zh-CN" w:bidi="ar-SA"/>
        </w:rPr>
      </w:pPr>
      <w:r>
        <w:rPr>
          <w:rFonts w:hint="eastAsia" w:eastAsia="宋体" w:cs="Times New Roman"/>
          <w:color w:val="auto"/>
          <w:sz w:val="21"/>
          <w:szCs w:val="21"/>
          <w:lang w:val="en-US" w:eastAsia="zh-CN" w:bidi="ar-SA"/>
        </w:rPr>
        <w:t>UE capability issue has been deeply discussed from 4 aspects during 101 meeting. Finally two types of UE capabilities were agreed: a general UE capability for support of NCSG and a per-band UE capability for support of NCSG similar as NeedForGap. Until now, the related UE capability for support of NCSG has been identified. For the latter UE capability, whether re-using the NeedForGap structure or introduce additional structure, which is up to RAN2. RAN2 is experienced for the signalling design. We do not need spending time to discuss it.</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agreed per-band UE capability for support of NCSG, the implementation details whether re-using the NeedForGap structure or introduce additional structure is up to RAN2.</w:t>
      </w:r>
    </w:p>
    <w:p>
      <w:pPr>
        <w:rPr>
          <w:rFonts w:hint="eastAsia" w:eastAsia="宋体" w:cs="Times New Roman"/>
          <w:color w:val="auto"/>
          <w:sz w:val="21"/>
          <w:szCs w:val="21"/>
          <w:lang w:val="en-US" w:eastAsia="zh-CN" w:bidi="ar-SA"/>
        </w:rPr>
      </w:pPr>
      <w:r>
        <w:rPr>
          <w:rFonts w:hint="eastAsia" w:eastAsia="宋体" w:cs="Times New Roman"/>
          <w:color w:val="auto"/>
          <w:sz w:val="21"/>
          <w:szCs w:val="21"/>
          <w:lang w:val="en-US" w:eastAsia="zh-CN" w:bidi="ar-SA"/>
        </w:rPr>
        <w:t>Combining the UE capability and NW configuration, three candidate options discussed during 101 meeting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8" w:hRule="atLeast"/>
        </w:trPr>
        <w:tc>
          <w:tcPr>
            <w:tcW w:w="9514" w:type="dxa"/>
          </w:tcPr>
          <w:p>
            <w:pPr>
              <w:numPr>
                <w:ilvl w:val="0"/>
                <w:numId w:val="11"/>
              </w:numPr>
              <w:ind w:left="420" w:leftChars="0" w:hanging="420" w:firstLineChars="0"/>
              <w:rPr>
                <w:rFonts w:hint="eastAsia" w:eastAsia="宋体" w:cs="Times New Roman"/>
                <w:color w:val="auto"/>
                <w:sz w:val="21"/>
                <w:szCs w:val="21"/>
                <w:vertAlign w:val="baseline"/>
                <w:lang w:val="en-US" w:eastAsia="zh-CN" w:bidi="ar-SA"/>
              </w:rPr>
            </w:pPr>
            <w:r>
              <w:rPr>
                <w:rFonts w:hint="eastAsia" w:eastAsia="宋体" w:cs="Times New Roman"/>
                <w:color w:val="auto"/>
                <w:sz w:val="21"/>
                <w:szCs w:val="21"/>
                <w:vertAlign w:val="baseline"/>
                <w:lang w:val="en-US" w:eastAsia="zh-CN" w:bidi="ar-SA"/>
              </w:rPr>
              <w:t>Option 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116"/>
              <w:gridCol w:w="2480"/>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Borders>
                    <w:tl2br w:val="single" w:color="auto" w:sz="4" w:space="0"/>
                  </w:tcBorders>
                </w:tcPr>
                <w:p>
                  <w:pPr>
                    <w:spacing w:after="120"/>
                    <w:jc w:val="both"/>
                    <w:rPr>
                      <w:rFonts w:eastAsia="宋体" w:asciiTheme="minorHAnsi" w:hAnsiTheme="minorHAnsi" w:cstheme="minorHAnsi"/>
                      <w:iCs/>
                      <w:lang w:eastAsia="zh-CN"/>
                    </w:rPr>
                  </w:pPr>
                  <w:bookmarkStart w:id="4" w:name="OLE_LINK38" w:colFirst="0" w:colLast="3"/>
                  <w:r>
                    <w:rPr>
                      <w:rFonts w:eastAsia="宋体" w:asciiTheme="minorHAnsi" w:hAnsiTheme="minorHAnsi" w:cstheme="minorHAnsi"/>
                      <w:iCs/>
                      <w:lang w:eastAsia="zh-CN"/>
                    </w:rPr>
                    <w:t xml:space="preserve">           NW config</w:t>
                  </w:r>
                </w:p>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UE capability</w:t>
                  </w:r>
                </w:p>
              </w:tc>
              <w:tc>
                <w:tcPr>
                  <w:tcW w:w="2174"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 xml:space="preserve">Case a: </w:t>
                  </w:r>
                </w:p>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No MG nor NCSG</w:t>
                  </w:r>
                </w:p>
              </w:tc>
              <w:tc>
                <w:tcPr>
                  <w:tcW w:w="2566"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Case b:</w:t>
                  </w:r>
                </w:p>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NCSG</w:t>
                  </w:r>
                </w:p>
              </w:tc>
              <w:tc>
                <w:tcPr>
                  <w:tcW w:w="237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 xml:space="preserve">Case c: </w:t>
                  </w:r>
                </w:p>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Case 1: gap</w:t>
                  </w:r>
                </w:p>
              </w:tc>
              <w:tc>
                <w:tcPr>
                  <w:tcW w:w="2174"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No requirement</w:t>
                  </w:r>
                </w:p>
              </w:tc>
              <w:tc>
                <w:tcPr>
                  <w:tcW w:w="2566"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No requirement</w:t>
                  </w:r>
                </w:p>
              </w:tc>
              <w:tc>
                <w:tcPr>
                  <w:tcW w:w="237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Case 2: no-gap-with-interruption</w:t>
                  </w:r>
                </w:p>
              </w:tc>
              <w:tc>
                <w:tcPr>
                  <w:tcW w:w="2174" w:type="dxa"/>
                  <w:shd w:val="clear" w:color="auto" w:fill="auto"/>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No requirement</w:t>
                  </w:r>
                </w:p>
              </w:tc>
              <w:tc>
                <w:tcPr>
                  <w:tcW w:w="2566"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Measurement within NCSG with only NCSG interruption allowed</w:t>
                  </w:r>
                </w:p>
              </w:tc>
              <w:tc>
                <w:tcPr>
                  <w:tcW w:w="237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strike/>
                      <w:lang w:eastAsia="zh-CN"/>
                    </w:rPr>
                    <w:t>Measurement within MG with only legacy gap interruption allowed</w:t>
                  </w:r>
                  <w:r>
                    <w:rPr>
                      <w:rFonts w:hint="eastAsia" w:eastAsia="宋体" w:asciiTheme="minorHAnsi" w:hAnsiTheme="minorHAnsi" w:cstheme="minorHAnsi"/>
                      <w:iCs/>
                      <w:lang w:val="en-US" w:eastAsia="zh-CN"/>
                    </w:rPr>
                    <w:t xml:space="preserve"> </w:t>
                  </w:r>
                  <w:r>
                    <w:rPr>
                      <w:rFonts w:hint="eastAsia" w:eastAsia="宋体" w:asciiTheme="minorHAnsi" w:hAnsiTheme="minorHAnsi" w:cstheme="minorHAnsi"/>
                      <w:iCs/>
                      <w:color w:val="0070C0"/>
                      <w:lang w:val="en-US" w:eastAsia="zh-CN"/>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Case 3: no-gap-no-interruption</w:t>
                  </w:r>
                </w:p>
              </w:tc>
              <w:tc>
                <w:tcPr>
                  <w:tcW w:w="2174"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lang w:eastAsia="zh-CN"/>
                    </w:rPr>
                    <w:t>Measurement without MG</w:t>
                  </w:r>
                </w:p>
              </w:tc>
              <w:tc>
                <w:tcPr>
                  <w:tcW w:w="2566"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strike/>
                      <w:lang w:eastAsia="zh-CN"/>
                    </w:rPr>
                    <w:t>Measurement outside NCSG</w:t>
                  </w:r>
                  <w:r>
                    <w:rPr>
                      <w:rFonts w:hint="eastAsia" w:eastAsia="宋体" w:asciiTheme="minorHAnsi" w:hAnsiTheme="minorHAnsi" w:cstheme="minorHAnsi"/>
                      <w:iCs/>
                      <w:lang w:val="en-US" w:eastAsia="zh-CN"/>
                    </w:rPr>
                    <w:t xml:space="preserve"> </w:t>
                  </w:r>
                  <w:r>
                    <w:rPr>
                      <w:rFonts w:hint="eastAsia" w:eastAsia="宋体" w:asciiTheme="minorHAnsi" w:hAnsiTheme="minorHAnsi" w:cstheme="minorHAnsi"/>
                      <w:iCs/>
                      <w:color w:val="0070C0"/>
                      <w:lang w:val="en-US" w:eastAsia="zh-CN"/>
                    </w:rPr>
                    <w:t>Measurement within NCSG with only NCSG interruption allowed</w:t>
                  </w:r>
                </w:p>
              </w:tc>
              <w:tc>
                <w:tcPr>
                  <w:tcW w:w="2372" w:type="dxa"/>
                </w:tcPr>
                <w:p>
                  <w:pPr>
                    <w:spacing w:after="120"/>
                    <w:jc w:val="both"/>
                    <w:rPr>
                      <w:rFonts w:eastAsia="宋体" w:asciiTheme="minorHAnsi" w:hAnsiTheme="minorHAnsi" w:cstheme="minorHAnsi"/>
                      <w:iCs/>
                      <w:lang w:eastAsia="zh-CN"/>
                    </w:rPr>
                  </w:pPr>
                  <w:r>
                    <w:rPr>
                      <w:rFonts w:eastAsia="宋体" w:asciiTheme="minorHAnsi" w:hAnsiTheme="minorHAnsi" w:cstheme="minorHAnsi"/>
                      <w:iCs/>
                      <w:strike/>
                      <w:lang w:eastAsia="zh-CN"/>
                    </w:rPr>
                    <w:t>Measurement outside MG</w:t>
                  </w:r>
                  <w:r>
                    <w:rPr>
                      <w:rFonts w:hint="eastAsia" w:eastAsia="宋体" w:asciiTheme="minorHAnsi" w:hAnsiTheme="minorHAnsi" w:cstheme="minorHAnsi"/>
                      <w:iCs/>
                      <w:lang w:val="en-US" w:eastAsia="zh-CN"/>
                    </w:rPr>
                    <w:t xml:space="preserve"> </w:t>
                  </w:r>
                  <w:r>
                    <w:rPr>
                      <w:rFonts w:hint="eastAsia" w:eastAsia="宋体" w:asciiTheme="minorHAnsi" w:hAnsiTheme="minorHAnsi" w:cstheme="minorHAnsi"/>
                      <w:iCs/>
                      <w:color w:val="0070C0"/>
                      <w:lang w:val="en-US" w:eastAsia="zh-CN"/>
                    </w:rPr>
                    <w:t>Measurement within MG</w:t>
                  </w:r>
                </w:p>
              </w:tc>
            </w:tr>
            <w:bookmarkEnd w:id="4"/>
          </w:tbl>
          <w:p>
            <w:pPr>
              <w:numPr>
                <w:ilvl w:val="0"/>
                <w:numId w:val="11"/>
              </w:numPr>
              <w:ind w:left="420" w:leftChars="0" w:hanging="420" w:firstLineChars="0"/>
              <w:rPr>
                <w:rFonts w:hint="default" w:eastAsia="宋体" w:cs="Times New Roman"/>
                <w:color w:val="auto"/>
                <w:sz w:val="21"/>
                <w:szCs w:val="21"/>
                <w:vertAlign w:val="baseline"/>
                <w:lang w:val="en-US" w:eastAsia="zh-CN" w:bidi="ar-SA"/>
              </w:rPr>
            </w:pPr>
            <w:r>
              <w:rPr>
                <w:rFonts w:hint="eastAsia" w:eastAsia="宋体" w:cs="Times New Roman"/>
                <w:color w:val="auto"/>
                <w:sz w:val="21"/>
                <w:szCs w:val="21"/>
                <w:vertAlign w:val="baseline"/>
                <w:lang w:val="en-US" w:eastAsia="zh-CN" w:bidi="ar-SA"/>
              </w:rPr>
              <w:t>Option 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142"/>
              <w:gridCol w:w="2451"/>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l2br w:val="single" w:color="auto" w:sz="4" w:space="0"/>
                  </w:tcBorders>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 xml:space="preserve">          NW config</w:t>
                  </w:r>
                </w:p>
                <w:p>
                  <w:pPr>
                    <w:spacing w:after="120"/>
                    <w:jc w:val="both"/>
                    <w:rPr>
                      <w:rFonts w:eastAsia="宋体" w:asciiTheme="minorHAnsi" w:hAnsiTheme="minorHAnsi" w:cstheme="minorHAnsi"/>
                      <w:bCs/>
                      <w:iCs/>
                      <w:lang w:eastAsia="zh-CN"/>
                    </w:rPr>
                  </w:pPr>
                </w:p>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UE capability</w:t>
                  </w:r>
                </w:p>
              </w:tc>
              <w:tc>
                <w:tcPr>
                  <w:tcW w:w="2215"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 xml:space="preserve">Case a: </w:t>
                  </w:r>
                </w:p>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No MG nor NCSG</w:t>
                  </w:r>
                </w:p>
              </w:tc>
              <w:tc>
                <w:tcPr>
                  <w:tcW w:w="2553"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Case b:</w:t>
                  </w:r>
                </w:p>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NCSG</w:t>
                  </w:r>
                </w:p>
              </w:tc>
              <w:tc>
                <w:tcPr>
                  <w:tcW w:w="2538"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Case c: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Case 1: gap</w:t>
                  </w:r>
                </w:p>
              </w:tc>
              <w:tc>
                <w:tcPr>
                  <w:tcW w:w="2215"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No requirement</w:t>
                  </w:r>
                </w:p>
              </w:tc>
              <w:tc>
                <w:tcPr>
                  <w:tcW w:w="2553"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No requirement</w:t>
                  </w:r>
                </w:p>
              </w:tc>
              <w:tc>
                <w:tcPr>
                  <w:tcW w:w="2538"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Case 2: no-gap-with-interruption</w:t>
                  </w:r>
                </w:p>
              </w:tc>
              <w:tc>
                <w:tcPr>
                  <w:tcW w:w="2215" w:type="dxa"/>
                  <w:shd w:val="clear" w:color="auto" w:fill="auto"/>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No requirement</w:t>
                  </w:r>
                </w:p>
              </w:tc>
              <w:tc>
                <w:tcPr>
                  <w:tcW w:w="2553"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within NCSG with only NCSG interruption allowed</w:t>
                  </w:r>
                </w:p>
              </w:tc>
              <w:tc>
                <w:tcPr>
                  <w:tcW w:w="2538"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within MG with only legacy gap interruption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Case 3: no-gap-no-interruption</w:t>
                  </w:r>
                </w:p>
              </w:tc>
              <w:tc>
                <w:tcPr>
                  <w:tcW w:w="2215"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without MG</w:t>
                  </w:r>
                </w:p>
              </w:tc>
              <w:tc>
                <w:tcPr>
                  <w:tcW w:w="2553"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outside NCSG</w:t>
                  </w:r>
                </w:p>
              </w:tc>
              <w:tc>
                <w:tcPr>
                  <w:tcW w:w="2538" w:type="dxa"/>
                </w:tcPr>
                <w:p>
                  <w:pPr>
                    <w:spacing w:after="120"/>
                    <w:jc w:val="both"/>
                    <w:rPr>
                      <w:rFonts w:eastAsia="宋体" w:asciiTheme="minorHAnsi" w:hAnsiTheme="minorHAnsi" w:cstheme="minorHAnsi"/>
                      <w:bCs/>
                      <w:iCs/>
                      <w:lang w:eastAsia="zh-CN"/>
                    </w:rPr>
                  </w:pPr>
                  <w:r>
                    <w:rPr>
                      <w:rFonts w:eastAsia="宋体" w:asciiTheme="minorHAnsi" w:hAnsiTheme="minorHAnsi" w:cstheme="minorHAnsi"/>
                      <w:bCs/>
                      <w:iCs/>
                      <w:lang w:eastAsia="zh-CN"/>
                    </w:rPr>
                    <w:t>Measurement outside MG</w:t>
                  </w:r>
                </w:p>
              </w:tc>
            </w:tr>
          </w:tbl>
          <w:p>
            <w:pPr>
              <w:numPr>
                <w:ilvl w:val="0"/>
                <w:numId w:val="11"/>
              </w:numPr>
              <w:ind w:left="420" w:leftChars="0" w:hanging="420" w:firstLineChars="0"/>
              <w:rPr>
                <w:rFonts w:hint="default" w:eastAsia="宋体" w:cs="Times New Roman"/>
                <w:color w:val="auto"/>
                <w:sz w:val="21"/>
                <w:szCs w:val="21"/>
                <w:vertAlign w:val="baseline"/>
                <w:lang w:val="en-US" w:eastAsia="zh-CN" w:bidi="ar-SA"/>
              </w:rPr>
            </w:pPr>
            <w:r>
              <w:rPr>
                <w:rFonts w:hint="eastAsia" w:eastAsia="宋体" w:cs="Times New Roman"/>
                <w:color w:val="auto"/>
                <w:sz w:val="21"/>
                <w:szCs w:val="21"/>
                <w:vertAlign w:val="baseline"/>
                <w:lang w:val="en-US" w:eastAsia="zh-CN" w:bidi="ar-SA"/>
              </w:rPr>
              <w:t>Option 3: FFS</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The proponent of Option 2 argues that the principle of Option 2 is similar as the principle of inter-f measurement without gap introduced in legacy Rel-16, while option 1 is different. Since if UE can measure a frequency layer without any interruption, then it should measure this frequency layer outside NCSG or legacy MG which may be configured by the NW for measurement of other frequency layers.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After further analysis the first two candidates, we believe the divergence between these two candidates are mainly caused by the ambiguous of the granularity for NW configuration and UE capability. Then different proponent has different understanding. According to the agreed per-band UE capability, we try to analysis this issue based on different assumption of the granularity for NW configuration.  </w:t>
      </w:r>
    </w:p>
    <w:p>
      <w:pPr>
        <w:numPr>
          <w:ilvl w:val="0"/>
          <w:numId w:val="11"/>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Possibility 1: Per-band UE capability + Per-band NW configuration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Under this assumption, since no matter the UE capability or the NW configuration, both per-band granularity,  we should not compare the Option 1, Option 2 with the inter-f measurement without gap in legacy Rel-16. For the mechanism of inter-f measurement without gap in legacy Rel-16, both UE capability and NW configuration are per-UE granularity. So different with the assumption here. Once both the UE capability and NW configuration are per-band granularity, which means the NW configuration aims at the specific band, so even the UE believe it has strong capability to realize measurement of </w:t>
      </w:r>
      <w:r>
        <w:rPr>
          <w:rFonts w:hint="default" w:eastAsia="宋体"/>
          <w:color w:val="auto"/>
          <w:sz w:val="21"/>
          <w:szCs w:val="21"/>
          <w:lang w:val="en-US" w:eastAsia="zh-CN"/>
        </w:rPr>
        <w:t>‘</w:t>
      </w:r>
      <w:r>
        <w:rPr>
          <w:rFonts w:hint="eastAsia" w:eastAsia="宋体"/>
          <w:color w:val="auto"/>
          <w:sz w:val="21"/>
          <w:szCs w:val="21"/>
          <w:lang w:val="en-US" w:eastAsia="zh-CN"/>
        </w:rPr>
        <w:t>no-gap-no-ncsg</w:t>
      </w:r>
      <w:r>
        <w:rPr>
          <w:rFonts w:hint="default" w:eastAsia="宋体"/>
          <w:color w:val="auto"/>
          <w:sz w:val="21"/>
          <w:szCs w:val="21"/>
          <w:lang w:val="en-US" w:eastAsia="zh-CN"/>
        </w:rPr>
        <w:t>’</w:t>
      </w:r>
      <w:r>
        <w:rPr>
          <w:rFonts w:hint="eastAsia" w:eastAsia="宋体"/>
          <w:color w:val="auto"/>
          <w:sz w:val="21"/>
          <w:szCs w:val="21"/>
          <w:lang w:val="en-US" w:eastAsia="zh-CN"/>
        </w:rPr>
        <w:t xml:space="preserve">, NW can decide which level of measurement should be executed by the UE, since NW can have comprehensive consideration between transmission scheduling in serving cell and RRM measurement in neighbour frequency.So, the UE behavior should rely on NW configuration. However in fact, if without additional consideration, NW configuration would be in line with the reported UE capability. </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Under this assumption, we prefer Option 1.</w:t>
      </w:r>
    </w:p>
    <w:p>
      <w:pPr>
        <w:numPr>
          <w:ilvl w:val="0"/>
          <w:numId w:val="11"/>
        </w:numPr>
        <w:ind w:left="420" w:leftChars="0" w:hanging="420" w:firstLineChars="0"/>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Possibility 2: Per-band UE capability + Per-UE/Per-FR NW configuration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This case is really similar with the mechanism of inter-f measurement without gap in legacy Rel-16. For the band that the UE with strong capability of supporting </w:t>
      </w:r>
      <w:r>
        <w:rPr>
          <w:rFonts w:hint="default" w:eastAsia="宋体"/>
          <w:color w:val="auto"/>
          <w:sz w:val="21"/>
          <w:szCs w:val="21"/>
          <w:lang w:val="en-US" w:eastAsia="zh-CN"/>
        </w:rPr>
        <w:t>‘</w:t>
      </w:r>
      <w:r>
        <w:rPr>
          <w:rFonts w:hint="eastAsia" w:eastAsia="宋体"/>
          <w:color w:val="auto"/>
          <w:sz w:val="21"/>
          <w:szCs w:val="21"/>
          <w:lang w:val="en-US" w:eastAsia="zh-CN"/>
        </w:rPr>
        <w:t>ncsg</w:t>
      </w:r>
      <w:r>
        <w:rPr>
          <w:rFonts w:hint="default" w:eastAsia="宋体"/>
          <w:color w:val="auto"/>
          <w:sz w:val="21"/>
          <w:szCs w:val="21"/>
          <w:lang w:val="en-US" w:eastAsia="zh-CN"/>
        </w:rPr>
        <w:t>’</w:t>
      </w:r>
      <w:r>
        <w:rPr>
          <w:rFonts w:hint="eastAsia" w:eastAsia="宋体"/>
          <w:color w:val="auto"/>
          <w:sz w:val="21"/>
          <w:szCs w:val="21"/>
          <w:lang w:val="en-US" w:eastAsia="zh-CN"/>
        </w:rPr>
        <w:t xml:space="preserve"> or </w:t>
      </w:r>
      <w:r>
        <w:rPr>
          <w:rFonts w:hint="default" w:eastAsia="宋体"/>
          <w:color w:val="auto"/>
          <w:sz w:val="21"/>
          <w:szCs w:val="21"/>
          <w:lang w:val="en-US" w:eastAsia="zh-CN"/>
        </w:rPr>
        <w:t>‘</w:t>
      </w:r>
      <w:r>
        <w:rPr>
          <w:rFonts w:hint="eastAsia" w:eastAsia="宋体"/>
          <w:color w:val="auto"/>
          <w:sz w:val="21"/>
          <w:szCs w:val="21"/>
          <w:lang w:val="en-US" w:eastAsia="zh-CN"/>
        </w:rPr>
        <w:t>no gap no ncsg</w:t>
      </w:r>
      <w:r>
        <w:rPr>
          <w:rFonts w:hint="default" w:eastAsia="宋体"/>
          <w:color w:val="auto"/>
          <w:sz w:val="21"/>
          <w:szCs w:val="21"/>
          <w:lang w:val="en-US" w:eastAsia="zh-CN"/>
        </w:rPr>
        <w:t>’</w:t>
      </w:r>
      <w:r>
        <w:rPr>
          <w:rFonts w:hint="eastAsia" w:eastAsia="宋体"/>
          <w:color w:val="auto"/>
          <w:sz w:val="21"/>
          <w:szCs w:val="21"/>
          <w:lang w:val="en-US" w:eastAsia="zh-CN"/>
        </w:rPr>
        <w:t xml:space="preserve">, since the NW configuration is per-UE/per-FR not per-band, even NW configure </w:t>
      </w:r>
      <w:r>
        <w:rPr>
          <w:rFonts w:hint="default" w:eastAsia="宋体"/>
          <w:color w:val="auto"/>
          <w:sz w:val="21"/>
          <w:szCs w:val="21"/>
          <w:lang w:val="en-US" w:eastAsia="zh-CN"/>
        </w:rPr>
        <w:t>‘</w:t>
      </w:r>
      <w:r>
        <w:rPr>
          <w:rFonts w:hint="eastAsia" w:eastAsia="宋体"/>
          <w:color w:val="auto"/>
          <w:sz w:val="21"/>
          <w:szCs w:val="21"/>
          <w:lang w:val="en-US" w:eastAsia="zh-CN"/>
        </w:rPr>
        <w:t>gap</w:t>
      </w:r>
      <w:r>
        <w:rPr>
          <w:rFonts w:hint="default" w:eastAsia="宋体"/>
          <w:color w:val="auto"/>
          <w:sz w:val="21"/>
          <w:szCs w:val="21"/>
          <w:lang w:val="en-US" w:eastAsia="zh-CN"/>
        </w:rPr>
        <w:t>’</w:t>
      </w:r>
      <w:r>
        <w:rPr>
          <w:rFonts w:hint="eastAsia" w:eastAsia="宋体"/>
          <w:color w:val="auto"/>
          <w:sz w:val="21"/>
          <w:szCs w:val="21"/>
          <w:lang w:val="en-US" w:eastAsia="zh-CN"/>
        </w:rPr>
        <w:t xml:space="preserve">, UE can execute the measurement without gap or measurement with NCSG in such band, then for other band not capable of </w:t>
      </w:r>
      <w:r>
        <w:rPr>
          <w:rFonts w:hint="default" w:eastAsia="宋体"/>
          <w:color w:val="auto"/>
          <w:sz w:val="21"/>
          <w:szCs w:val="21"/>
          <w:lang w:val="en-US" w:eastAsia="zh-CN"/>
        </w:rPr>
        <w:t>‘</w:t>
      </w:r>
      <w:r>
        <w:rPr>
          <w:rFonts w:hint="eastAsia" w:eastAsia="宋体"/>
          <w:color w:val="auto"/>
          <w:sz w:val="21"/>
          <w:szCs w:val="21"/>
          <w:lang w:val="en-US" w:eastAsia="zh-CN"/>
        </w:rPr>
        <w:t>ncsg</w:t>
      </w:r>
      <w:r>
        <w:rPr>
          <w:rFonts w:hint="default" w:eastAsia="宋体"/>
          <w:color w:val="auto"/>
          <w:sz w:val="21"/>
          <w:szCs w:val="21"/>
          <w:lang w:val="en-US" w:eastAsia="zh-CN"/>
        </w:rPr>
        <w:t>’</w:t>
      </w:r>
      <w:r>
        <w:rPr>
          <w:rFonts w:hint="eastAsia" w:eastAsia="宋体"/>
          <w:color w:val="auto"/>
          <w:sz w:val="21"/>
          <w:szCs w:val="21"/>
          <w:lang w:val="en-US" w:eastAsia="zh-CN"/>
        </w:rPr>
        <w:t xml:space="preserve"> or </w:t>
      </w:r>
      <w:r>
        <w:rPr>
          <w:rFonts w:hint="default" w:eastAsia="宋体"/>
          <w:color w:val="auto"/>
          <w:sz w:val="21"/>
          <w:szCs w:val="21"/>
          <w:lang w:val="en-US" w:eastAsia="zh-CN"/>
        </w:rPr>
        <w:t>‘</w:t>
      </w:r>
      <w:r>
        <w:rPr>
          <w:rFonts w:hint="eastAsia" w:eastAsia="宋体"/>
          <w:color w:val="auto"/>
          <w:sz w:val="21"/>
          <w:szCs w:val="21"/>
          <w:lang w:val="en-US" w:eastAsia="zh-CN"/>
        </w:rPr>
        <w:t>no gap no ncsg</w:t>
      </w:r>
      <w:r>
        <w:rPr>
          <w:rFonts w:hint="default" w:eastAsia="宋体"/>
          <w:color w:val="auto"/>
          <w:sz w:val="21"/>
          <w:szCs w:val="21"/>
          <w:lang w:val="en-US" w:eastAsia="zh-CN"/>
        </w:rPr>
        <w:t>’</w:t>
      </w:r>
      <w:r>
        <w:rPr>
          <w:rFonts w:hint="eastAsia" w:eastAsia="宋体"/>
          <w:color w:val="auto"/>
          <w:sz w:val="21"/>
          <w:szCs w:val="21"/>
          <w:lang w:val="en-US" w:eastAsia="zh-CN"/>
        </w:rPr>
        <w:t>, UE can execute measurement within gap.</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Under this assumption, we prefer Option 2.</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Based on the analysis for Possibility 1 and Possibility 2, we believe the objective of Option 1 and Option 2 is not exclusive.</w:t>
      </w:r>
    </w:p>
    <w:p>
      <w:pPr>
        <w:numPr>
          <w:ilvl w:val="0"/>
          <w:numId w:val="0"/>
        </w:numPr>
        <w:ind w:leftChars="0"/>
        <w:rPr>
          <w:rFonts w:hint="default" w:eastAsia="宋体" w:cs="Times New Roman"/>
          <w:color w:val="auto"/>
          <w:sz w:val="21"/>
          <w:szCs w:val="21"/>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believe the objective of Option 1 and Option 2 is not exclusive. If per-band NW configuration introduced, we prefer Option 1, Otherwise, Option 2 is preferred.</w:t>
      </w:r>
    </w:p>
    <w:p>
      <w:pPr>
        <w:numPr>
          <w:ilvl w:val="0"/>
          <w:numId w:val="0"/>
        </w:numPr>
        <w:ind w:leftChars="0"/>
        <w:rPr>
          <w:rFonts w:hint="default" w:eastAsia="宋体" w:cs="Times New Roman"/>
          <w:color w:val="auto"/>
          <w:sz w:val="21"/>
          <w:szCs w:val="21"/>
          <w:lang w:val="en-US" w:eastAsia="zh-CN" w:bidi="ar-SA"/>
        </w:rPr>
      </w:pPr>
    </w:p>
    <w:p>
      <w:pPr>
        <w:pStyle w:val="3"/>
        <w:bidi w:val="0"/>
        <w:rPr>
          <w:rFonts w:hint="eastAsia"/>
          <w:color w:val="auto"/>
          <w:sz w:val="28"/>
          <w:szCs w:val="28"/>
          <w:lang w:val="en-US" w:eastAsia="zh-TW"/>
        </w:rPr>
      </w:pPr>
      <w:r>
        <w:rPr>
          <w:rFonts w:hint="eastAsia"/>
          <w:color w:val="auto"/>
          <w:sz w:val="28"/>
          <w:szCs w:val="28"/>
          <w:lang w:val="en-US" w:eastAsia="zh-CN"/>
        </w:rPr>
        <w:t>2.3 M</w:t>
      </w:r>
      <w:r>
        <w:rPr>
          <w:rFonts w:hint="eastAsia"/>
          <w:color w:val="auto"/>
          <w:sz w:val="28"/>
          <w:szCs w:val="28"/>
          <w:lang w:val="en-US" w:eastAsia="zh-TW"/>
        </w:rPr>
        <w:t>easurement related requirements</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Around all related requirements, only the scheduling restriction is still open. The proposed options are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12"/>
              </w:numPr>
              <w:tabs>
                <w:tab w:val="left" w:pos="420"/>
                <w:tab w:val="clear" w:pos="0"/>
              </w:tabs>
              <w:ind w:left="420" w:leftChars="0" w:hanging="420" w:firstLineChars="0"/>
              <w:rPr>
                <w:rFonts w:hint="eastAsia"/>
                <w:highlight w:val="none"/>
                <w:lang w:val="en-US" w:eastAsia="zh-CN"/>
              </w:rPr>
            </w:pPr>
            <w:r>
              <w:rPr>
                <w:rFonts w:hint="eastAsia"/>
                <w:highlight w:val="none"/>
                <w:lang w:val="en-US" w:eastAsia="zh-CN"/>
              </w:rPr>
              <w:t>Scheduling restriction in FR1:</w:t>
            </w:r>
          </w:p>
          <w:p>
            <w:pPr>
              <w:keepNext w:val="0"/>
              <w:keepLines w:val="0"/>
              <w:pageBreakBefore w:val="0"/>
              <w:widowControl w:val="0"/>
              <w:numPr>
                <w:ilvl w:val="1"/>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eastAsia="zh-CN"/>
              </w:rPr>
            </w:pPr>
            <w:r>
              <w:rPr>
                <w:rFonts w:eastAsia="宋体" w:asciiTheme="minorHAnsi" w:hAnsiTheme="minorHAnsi" w:cstheme="minorHAnsi"/>
                <w:bCs/>
                <w:iCs/>
                <w:lang w:val="en-US" w:eastAsia="zh-CN"/>
              </w:rPr>
              <w:t xml:space="preserve">Option 1: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 xml:space="preserve">For intra-frequency measurement, existing scheduling restriction requirements apply.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 xml:space="preserve">For inter-frequency measurement and the target carrier and the serving cell are in same band, existing scheduling restriction requirements apply except that all symbols in SMTC windows are restricted.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r>
              <w:rPr>
                <w:rFonts w:hint="eastAsia" w:asciiTheme="minorHAnsi" w:hAnsiTheme="minorHAnsi" w:cstheme="minorHAnsi"/>
                <w:bCs/>
                <w:iCs/>
                <w:lang w:val="en-US" w:eastAsia="zh-CN"/>
              </w:rPr>
              <w:t xml:space="preserve">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NW should be informed whether UE needs scheduling restriction or not for a combination of an inter-frequency target carrier and a serving cell.</w:t>
            </w:r>
          </w:p>
          <w:p>
            <w:pPr>
              <w:keepNext w:val="0"/>
              <w:keepLines w:val="0"/>
              <w:pageBreakBefore w:val="0"/>
              <w:widowControl w:val="0"/>
              <w:numPr>
                <w:ilvl w:val="1"/>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eastAsia="zh-CN"/>
              </w:rPr>
            </w:pPr>
            <w:r>
              <w:rPr>
                <w:rFonts w:eastAsia="宋体" w:asciiTheme="minorHAnsi" w:hAnsiTheme="minorHAnsi" w:cstheme="minorHAnsi"/>
                <w:bCs/>
                <w:iCs/>
                <w:lang w:val="en-US" w:eastAsia="zh-CN"/>
              </w:rPr>
              <w:t xml:space="preserve">Option 2: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 xml:space="preserve">For intra-frequency measurement, existing scheduling restriction requirements apply.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 xml:space="preserve">For inter-frequency measurement and the target carrier and the serving cell are in same band, existing scheduling restriction requirements apply </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 xml:space="preserve">For inter-frequency measurement and the target carrier and the serving cell are in different bands, </w:t>
            </w:r>
            <w:r>
              <w:rPr>
                <w:rFonts w:eastAsia="宋体" w:asciiTheme="minorHAnsi" w:hAnsiTheme="minorHAnsi" w:cstheme="minorHAnsi"/>
                <w:bCs/>
                <w:iCs/>
                <w:u w:val="single"/>
                <w:lang w:val="en-US" w:eastAsia="zh-CN"/>
              </w:rPr>
              <w:t>SSB symbols to be measured</w:t>
            </w:r>
            <w:r>
              <w:rPr>
                <w:rFonts w:eastAsia="宋体" w:asciiTheme="minorHAnsi" w:hAnsiTheme="minorHAnsi" w:cstheme="minorHAnsi"/>
                <w:bCs/>
                <w:iCs/>
                <w:lang w:val="en-US" w:eastAsia="zh-CN"/>
              </w:rPr>
              <w:t xml:space="preserve"> are restricted when scheduling restrictions apply, and whether scheduling restrictions apply depends on UE capability.</w:t>
            </w:r>
          </w:p>
          <w:p>
            <w:pPr>
              <w:keepNext w:val="0"/>
              <w:keepLines w:val="0"/>
              <w:pageBreakBefore w:val="0"/>
              <w:widowControl w:val="0"/>
              <w:numPr>
                <w:ilvl w:val="3"/>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u w:val="single"/>
                <w:lang w:val="en-US" w:eastAsia="zh-CN"/>
              </w:rPr>
            </w:pPr>
            <w:r>
              <w:rPr>
                <w:rFonts w:eastAsia="宋体" w:asciiTheme="minorHAnsi" w:hAnsiTheme="minorHAnsi" w:cstheme="minorHAnsi"/>
                <w:bCs/>
                <w:iCs/>
                <w:u w:val="single"/>
                <w:lang w:val="en-US" w:eastAsia="zh-CN"/>
              </w:rPr>
              <w:t>SSB symbols to be measured are the SSB symbols indicated by SSB-ToMeasure, if it is configured; otherwise, all L SSB symbols within the SMTC window duration</w:t>
            </w:r>
          </w:p>
          <w:p>
            <w:pPr>
              <w:keepNext w:val="0"/>
              <w:keepLines w:val="0"/>
              <w:pageBreakBefore w:val="0"/>
              <w:widowControl w:val="0"/>
              <w:numPr>
                <w:ilvl w:val="2"/>
                <w:numId w:val="13"/>
              </w:numPr>
              <w:kinsoku/>
              <w:wordWrap/>
              <w:overflowPunct/>
              <w:topLinePunct w:val="0"/>
              <w:autoSpaceDE/>
              <w:autoSpaceDN/>
              <w:bidi w:val="0"/>
              <w:adjustRightInd/>
              <w:snapToGrid/>
              <w:ind w:hanging="363"/>
              <w:jc w:val="both"/>
              <w:textAlignment w:val="auto"/>
              <w:rPr>
                <w:rFonts w:eastAsia="宋体" w:asciiTheme="minorHAnsi" w:hAnsiTheme="minorHAnsi" w:cstheme="minorHAnsi"/>
                <w:bCs/>
                <w:iCs/>
                <w:lang w:val="en-US" w:eastAsia="zh-CN"/>
              </w:rPr>
            </w:pPr>
            <w:r>
              <w:rPr>
                <w:rFonts w:eastAsia="宋体" w:asciiTheme="minorHAnsi" w:hAnsiTheme="minorHAnsi" w:cstheme="minorHAnsi"/>
                <w:bCs/>
                <w:iCs/>
                <w:lang w:val="en-US" w:eastAsia="zh-CN"/>
              </w:rPr>
              <w:t>NW should be informed whether UE needs scheduling restriction or not for a combination of an inter-frequency target carrier and a serving cell.</w:t>
            </w:r>
          </w:p>
          <w:p>
            <w:pPr>
              <w:numPr>
                <w:ilvl w:val="0"/>
                <w:numId w:val="14"/>
              </w:numPr>
              <w:ind w:left="420" w:leftChars="0" w:hanging="420" w:firstLineChars="0"/>
              <w:rPr>
                <w:rFonts w:hint="eastAsia" w:eastAsia="宋体"/>
                <w:color w:val="auto"/>
                <w:sz w:val="21"/>
                <w:szCs w:val="21"/>
                <w:vertAlign w:val="baseline"/>
                <w:lang w:val="en-US" w:eastAsia="zh-CN"/>
              </w:rPr>
            </w:pPr>
            <w:r>
              <w:rPr>
                <w:rFonts w:hint="eastAsia"/>
                <w:highlight w:val="none"/>
                <w:lang w:val="en-US" w:eastAsia="zh-CN"/>
              </w:rPr>
              <w:t>Scheduling restriction in FR2: FFS</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The scheduling restriction are caused by three items: 1) UE does not support receiving downlink transmissions with different SCS simultaneously; 2) UE does not support receiving and transmitting simultaneously; 3) UE is not capable of IBM. However, for the last two reasons, some company concerned that the existing related UE capabilities in the legacy Rel-16 might not meet the need of NCSG. The analysis is as follows: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item 2), for single TDD cell and intra-band TDD CA cases, UE can not support receiving and transmitting simultaneously; For inter-band TDD CA, whether supporting receiving and transmitting simultaneously, which depends on the UE capability of </w:t>
      </w:r>
      <w:r>
        <w:rPr>
          <w:rFonts w:hint="eastAsia" w:eastAsia="宋体"/>
          <w:color w:val="auto"/>
          <w:sz w:val="21"/>
          <w:szCs w:val="21"/>
          <w:lang w:val="zh-CN" w:eastAsia="zh-CN"/>
        </w:rPr>
        <w:t>simultaneousRxTxInterBandCA</w:t>
      </w:r>
      <w:r>
        <w:rPr>
          <w:rFonts w:hint="eastAsia" w:eastAsia="宋体"/>
          <w:color w:val="auto"/>
          <w:sz w:val="21"/>
          <w:szCs w:val="21"/>
          <w:lang w:val="en-US" w:eastAsia="zh-CN"/>
        </w:rPr>
        <w:t>. According to the definition in legacy Rel-16, this UE capability can indicate whether UE supports receiving and transmitting simultaneously across the multiple inter-band serving cells. We believe this UE capability can be re-used in the case of inter-band serving cell and target cell. Because no matter inter-band serving cells or inter-band serving cell and target cell, the essence of simultaneous receiving and transmitting is always same. So, not need to introduce additional UE capability.</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item 3), which only affect FR2, not affect FR1. IBM capability has been used for determining whether the measurement in target cell has impact on the scheduling of serving cell for inter-band CA case. So, we believe the IBM capability can apply not only multiple inter-band serving cells, but also inter-band serving cell and target cell. Not any additional UE capability is needed.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Considering for intra-f measurement and inter-f measurement one by one.</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intra-f measurement, Option 1 and Option 2 both suggest scheduling restriction existing, so re-using the scheduling restriction is enough.</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inter-f measurement, for the sake of discussion easily, we classify the relation between serving cell and target cell into the intra-band case and inter-band case.</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inter-band case, if all bands all are all in FR1, which is not specified in legacy Rel-16, so additional UE capability is necessary; if all bands are all in FR2, we believe depending on the capable of IBM. If UE supports IBM, not any scheduling restriction is needed, otherwise, the scheduling restriction is needed. For the case of FR1+FR2 inter-band, not any scheduling restriction is needed.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To summarize, we believe only additional UE capability is needed for the case of inter-f measurement in inter-band FR1. Review the Option 1 and Option 2, their only divergence is the scheduling restriction should be only impose on the SSB symbol or on the whole SMTC window. The following rules can be used to decide whether only scheduling restriction on the SSB symbol or on the whole SMTC window:</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t>
      </w:r>
      <w:r>
        <w:rPr>
          <w:rFonts w:hint="eastAsia" w:eastAsia="宋体"/>
          <w:color w:val="auto"/>
          <w:sz w:val="21"/>
          <w:szCs w:val="21"/>
          <w:lang w:val="en-US" w:eastAsia="zh-CN"/>
        </w:rPr>
        <w:tab/>
      </w:r>
      <w:r>
        <w:rPr>
          <w:rFonts w:hint="eastAsia" w:eastAsia="宋体"/>
          <w:color w:val="auto"/>
          <w:sz w:val="21"/>
          <w:szCs w:val="21"/>
          <w:lang w:val="en-US" w:eastAsia="zh-CN"/>
        </w:rPr>
        <w:t>SFN and frame boundary across serving cell and inter-frequency neighbor cells is aligned, and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t>
      </w:r>
      <w:r>
        <w:rPr>
          <w:rFonts w:hint="eastAsia" w:eastAsia="宋体"/>
          <w:color w:val="auto"/>
          <w:sz w:val="21"/>
          <w:szCs w:val="21"/>
          <w:lang w:val="en-US" w:eastAsia="zh-CN"/>
        </w:rPr>
        <w:tab/>
      </w:r>
      <w:r>
        <w:rPr>
          <w:rFonts w:hint="eastAsia" w:eastAsia="宋体"/>
          <w:color w:val="auto"/>
          <w:sz w:val="21"/>
          <w:szCs w:val="21"/>
          <w:lang w:val="en-US" w:eastAsia="zh-CN"/>
        </w:rPr>
        <w:t>the timing of SSBs across serving cell and inter-frequency neighbor cells are aligned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If both of them can be satisfied, Option 2 is preferred, otherwise, we prefer Option 1.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Generally Option 1 and Option 2 are reasonable, only introducing an additional UE capability for the case of inter-f measurement in inter-band FR1.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following rules can be used to identify whether Option 1 or Option 2. If both of them are satisfied, Option 2 is preferred, otherwise, Option 1 is preferred.</w:t>
      </w:r>
    </w:p>
    <w:p>
      <w:pPr>
        <w:pStyle w:val="7"/>
        <w:tabs>
          <w:tab w:val="left" w:pos="226"/>
          <w:tab w:val="left" w:pos="284"/>
          <w:tab w:val="left" w:pos="5103"/>
        </w:tabs>
        <w:snapToGrid w:val="0"/>
        <w:spacing w:before="156" w:beforeLines="50"/>
        <w:ind w:leftChars="100"/>
        <w:rPr>
          <w:rFonts w:hint="eastAsia" w:eastAsia="宋体"/>
          <w:b/>
          <w:bCs/>
          <w:color w:val="auto"/>
          <w:sz w:val="21"/>
          <w:szCs w:val="21"/>
          <w:lang w:val="en-US" w:eastAsia="zh-CN"/>
        </w:rPr>
      </w:pPr>
      <w:r>
        <w:rPr>
          <w:rFonts w:hint="eastAsia" w:eastAsia="宋体"/>
          <w:b/>
          <w:bCs/>
          <w:color w:val="auto"/>
          <w:sz w:val="21"/>
          <w:szCs w:val="21"/>
          <w:lang w:val="en-US" w:eastAsia="zh-CN"/>
        </w:rPr>
        <w:t>-</w:t>
      </w:r>
      <w:r>
        <w:rPr>
          <w:rFonts w:hint="eastAsia" w:eastAsia="宋体"/>
          <w:b/>
          <w:bCs/>
          <w:color w:val="auto"/>
          <w:sz w:val="21"/>
          <w:szCs w:val="21"/>
          <w:lang w:val="en-US" w:eastAsia="zh-CN"/>
        </w:rPr>
        <w:tab/>
      </w:r>
      <w:r>
        <w:rPr>
          <w:rFonts w:hint="eastAsia" w:eastAsia="宋体"/>
          <w:b/>
          <w:bCs/>
          <w:color w:val="auto"/>
          <w:sz w:val="21"/>
          <w:szCs w:val="21"/>
          <w:lang w:val="en-US" w:eastAsia="zh-CN"/>
        </w:rPr>
        <w:t>SFN and frame boundary across serving cell and inter-frequency neighbor cells is aligned, and</w:t>
      </w:r>
    </w:p>
    <w:p>
      <w:pPr>
        <w:pStyle w:val="7"/>
        <w:tabs>
          <w:tab w:val="left" w:pos="226"/>
          <w:tab w:val="left" w:pos="284"/>
          <w:tab w:val="left" w:pos="5103"/>
        </w:tabs>
        <w:snapToGrid w:val="0"/>
        <w:spacing w:before="156" w:beforeLines="50"/>
        <w:ind w:leftChars="100"/>
        <w:rPr>
          <w:rFonts w:hint="default" w:eastAsia="宋体" w:cs="Times New Roman"/>
          <w:b/>
          <w:bCs/>
          <w:color w:val="auto"/>
          <w:sz w:val="21"/>
          <w:szCs w:val="21"/>
          <w:highlight w:val="none"/>
          <w:lang w:val="en-US" w:eastAsia="zh-CN" w:bidi="ar-SA"/>
        </w:rPr>
      </w:pPr>
      <w:r>
        <w:rPr>
          <w:rFonts w:hint="eastAsia" w:eastAsia="宋体"/>
          <w:b/>
          <w:bCs/>
          <w:color w:val="auto"/>
          <w:sz w:val="21"/>
          <w:szCs w:val="21"/>
          <w:lang w:val="en-US" w:eastAsia="zh-CN"/>
        </w:rPr>
        <w:t>-</w:t>
      </w:r>
      <w:r>
        <w:rPr>
          <w:rFonts w:hint="eastAsia" w:eastAsia="宋体"/>
          <w:b/>
          <w:bCs/>
          <w:color w:val="auto"/>
          <w:sz w:val="21"/>
          <w:szCs w:val="21"/>
          <w:lang w:val="en-US" w:eastAsia="zh-CN"/>
        </w:rPr>
        <w:tab/>
      </w:r>
      <w:r>
        <w:rPr>
          <w:rFonts w:hint="eastAsia" w:eastAsia="宋体"/>
          <w:b/>
          <w:bCs/>
          <w:color w:val="auto"/>
          <w:sz w:val="21"/>
          <w:szCs w:val="21"/>
          <w:lang w:val="en-US" w:eastAsia="zh-CN"/>
        </w:rPr>
        <w:t>the timing of SSBs across serving cell and inter-frequency neighbor cells are aligned</w:t>
      </w:r>
    </w:p>
    <w:p>
      <w:pPr>
        <w:pStyle w:val="3"/>
        <w:bidi w:val="0"/>
        <w:rPr>
          <w:rFonts w:hint="default" w:ascii="Times New Roman" w:hAnsi="Times New Roman" w:eastAsia="宋体" w:cs="Times New Roman"/>
          <w:color w:val="auto"/>
          <w:sz w:val="20"/>
          <w:szCs w:val="20"/>
          <w:lang w:val="en-US" w:eastAsia="zh-CN" w:bidi="ar-SA"/>
        </w:rPr>
      </w:pPr>
      <w:r>
        <w:rPr>
          <w:rFonts w:hint="eastAsia"/>
          <w:color w:val="auto"/>
          <w:sz w:val="28"/>
          <w:szCs w:val="28"/>
          <w:lang w:val="en-US" w:eastAsia="zh-CN"/>
        </w:rPr>
        <w:t xml:space="preserve">2.4 </w:t>
      </w:r>
      <w:r>
        <w:rPr>
          <w:rFonts w:hint="eastAsia" w:eastAsia="宋体"/>
          <w:color w:val="auto"/>
          <w:sz w:val="28"/>
          <w:szCs w:val="28"/>
          <w:lang w:val="en-US" w:eastAsia="zh-CN"/>
        </w:rPr>
        <w:t>Others</w:t>
      </w:r>
    </w:p>
    <w:p>
      <w:pPr>
        <w:rPr>
          <w:rFonts w:hint="eastAsia" w:eastAsia="宋体"/>
          <w:color w:val="auto"/>
          <w:sz w:val="21"/>
          <w:szCs w:val="21"/>
          <w:lang w:val="en-US" w:eastAsia="zh-CN"/>
        </w:rPr>
      </w:pPr>
      <w:r>
        <w:rPr>
          <w:rFonts w:hint="eastAsia" w:eastAsia="宋体"/>
          <w:color w:val="auto"/>
          <w:sz w:val="21"/>
          <w:szCs w:val="21"/>
          <w:lang w:val="en-US" w:eastAsia="zh-CN"/>
        </w:rPr>
        <w:t xml:space="preserve">For the transformation between NCSG and legacy gap, it is still FFS. From our view, considering it has been agreed that the definition of VIL is independent with MGL pattern, and </w:t>
      </w:r>
      <w:r>
        <w:rPr>
          <w:rFonts w:eastAsia="宋体" w:asciiTheme="minorHAnsi" w:hAnsiTheme="minorHAnsi" w:cstheme="minorHAnsi"/>
          <w:bCs/>
          <w:iCs/>
          <w:highlight w:val="none"/>
          <w:lang w:eastAsia="zh-CN"/>
        </w:rPr>
        <w:t>ML</w:t>
      </w:r>
      <w:r>
        <w:rPr>
          <w:rFonts w:eastAsia="宋体" w:asciiTheme="minorHAnsi" w:hAnsiTheme="minorHAnsi" w:cstheme="minorHAnsi"/>
          <w:bCs/>
          <w:iCs/>
          <w:highlight w:val="none"/>
          <w:vertAlign w:val="subscript"/>
          <w:lang w:eastAsia="zh-CN"/>
        </w:rPr>
        <w:t>NC</w:t>
      </w:r>
      <w:r>
        <w:rPr>
          <w:rFonts w:eastAsia="宋体" w:asciiTheme="minorHAnsi" w:hAnsiTheme="minorHAnsi" w:cstheme="minorHAnsi"/>
          <w:bCs/>
          <w:iCs/>
          <w:highlight w:val="none"/>
          <w:vertAlign w:val="subscript"/>
          <w:lang w:val="en-US" w:eastAsia="zh-CN"/>
        </w:rPr>
        <w:t>SG</w:t>
      </w:r>
      <w:r>
        <w:rPr>
          <w:rFonts w:hint="default"/>
          <w:highlight w:val="none"/>
          <w:lang w:val="en-US" w:eastAsia="zh-CN"/>
        </w:rPr>
        <w:t xml:space="preserve"> = </w:t>
      </w:r>
      <w:r>
        <w:rPr>
          <w:rFonts w:eastAsia="宋体" w:asciiTheme="minorHAnsi" w:hAnsiTheme="minorHAnsi" w:cstheme="minorHAnsi"/>
          <w:bCs/>
          <w:iCs/>
          <w:highlight w:val="none"/>
          <w:lang w:val="en-US" w:eastAsia="zh-CN"/>
        </w:rPr>
        <w:t>MGL</w:t>
      </w:r>
      <w:r>
        <w:rPr>
          <w:rFonts w:eastAsia="宋体" w:asciiTheme="minorHAnsi" w:hAnsiTheme="minorHAnsi" w:cstheme="minorHAnsi"/>
          <w:bCs/>
          <w:iCs/>
          <w:highlight w:val="none"/>
          <w:vertAlign w:val="subscript"/>
          <w:lang w:val="en-US" w:eastAsia="zh-CN"/>
        </w:rPr>
        <w:t>legacy</w:t>
      </w:r>
      <w:r>
        <w:rPr>
          <w:rFonts w:hint="default"/>
          <w:highlight w:val="none"/>
          <w:lang w:val="en-US" w:eastAsia="zh-CN"/>
        </w:rPr>
        <w:t xml:space="preserve"> – 2*RRT</w:t>
      </w:r>
      <w:r>
        <w:rPr>
          <w:rFonts w:hint="eastAsia" w:eastAsia="宋体"/>
          <w:color w:val="auto"/>
          <w:sz w:val="21"/>
          <w:szCs w:val="21"/>
          <w:lang w:val="en-US" w:eastAsia="zh-CN"/>
        </w:rPr>
        <w:t>. So for the configuration of NCSG, we believe re-using the configuration signaling of legacy gap is enough, only additional 1 bit distinguishing between legacy gap and NCSG is OK. For the transformation between NCSG and legacy gap, the conclusion in pre-configured MG can be a good reference, i.e. not supporting any transformation, just re-configuration necessary NCSG or legacy gap is enough. Which has been approved in the topic of pre-configured MG.</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Re-using the configuration signaling of legacy gap, only 1 bit distinguishing between legacy gap and NCSG is needed.</w:t>
      </w:r>
    </w:p>
    <w:p>
      <w:pPr>
        <w:rPr>
          <w:rFonts w:hint="eastAsia"/>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Same as the agreed solution in pre-configured MG, not introducing any transformation mechanism, re-configuration is OK.</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w:t>
      </w:r>
      <w:r>
        <w:rPr>
          <w:rFonts w:eastAsia="宋体"/>
          <w:bCs/>
          <w:color w:val="auto"/>
          <w:sz w:val="21"/>
          <w:szCs w:val="21"/>
          <w:lang w:val="en-GB" w:eastAsia="zh-CN"/>
        </w:rPr>
        <w:t>:</w:t>
      </w:r>
    </w:p>
    <w:p>
      <w:pPr>
        <w:keepNext w:val="0"/>
        <w:keepLines w:val="0"/>
        <w:pageBreakBefore w:val="0"/>
        <w:widowControl/>
        <w:kinsoku/>
        <w:wordWrap/>
        <w:overflowPunct/>
        <w:topLinePunct w:val="0"/>
        <w:autoSpaceDE/>
        <w:autoSpaceDN/>
        <w:bidi w:val="0"/>
        <w:adjustRightIn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All related aspects have been covered in Option 1. We believe Option 1 can be the conditions of application of NCSG in FR2.</w:t>
      </w:r>
    </w:p>
    <w:p>
      <w:pPr>
        <w:keepNext w:val="0"/>
        <w:keepLines w:val="0"/>
        <w:pageBreakBefore w:val="0"/>
        <w:widowControl/>
        <w:kinsoku/>
        <w:wordWrap/>
        <w:overflowPunct/>
        <w:topLinePunct w:val="0"/>
        <w:autoSpaceDE/>
        <w:autoSpaceDN/>
        <w:bidi w:val="0"/>
        <w:adjustRightIn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De-prioritize the CSI-RS based inter-f measurement, until the discussion of applying of NCSG to SSB-based measurement finished. Or considering the NCSG for CSI-RS based measurement in Rel-18 MG enhancement.</w:t>
      </w:r>
    </w:p>
    <w:p>
      <w:pPr>
        <w:keepNext w:val="0"/>
        <w:keepLines w:val="0"/>
        <w:pageBreakBefore w:val="0"/>
        <w:widowControl/>
        <w:kinsoku/>
        <w:wordWrap/>
        <w:overflowPunct/>
        <w:topLinePunct w:val="0"/>
        <w:autoSpaceDE/>
        <w:autoSpaceDN/>
        <w:bidi w:val="0"/>
        <w:adjustRightInd/>
        <w:spacing w:before="157" w:beforeLines="50"/>
        <w:textAlignment w:val="auto"/>
        <w:rPr>
          <w:rFonts w:hint="default" w:eastAsia="宋体"/>
          <w:b/>
          <w:bCs/>
          <w:color w:val="auto"/>
          <w:sz w:val="21"/>
          <w:szCs w:val="21"/>
          <w:u w:val="singl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To identify the feasibility of NCSG in EN-DC, NE-DC and NR-DC, some configuration update clarification is needed from RAN2 group.</w:t>
      </w:r>
    </w:p>
    <w:p>
      <w:pPr>
        <w:keepNext w:val="0"/>
        <w:keepLines w:val="0"/>
        <w:pageBreakBefore w:val="0"/>
        <w:widowControl/>
        <w:kinsoku/>
        <w:wordWrap/>
        <w:overflowPunct/>
        <w:topLinePunct w:val="0"/>
        <w:autoSpaceDE/>
        <w:autoSpaceDN/>
        <w:bidi w:val="0"/>
        <w:adjustRightInd/>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the agreed per-band UE capability for support of NCSG, the implementation details whether re-using the NeedForGap structure or introduce additional structure is up to RAN2.</w:t>
      </w:r>
    </w:p>
    <w:p>
      <w:pPr>
        <w:keepNext w:val="0"/>
        <w:keepLines w:val="0"/>
        <w:pageBreakBefore w:val="0"/>
        <w:widowControl/>
        <w:numPr>
          <w:ilvl w:val="0"/>
          <w:numId w:val="0"/>
        </w:numPr>
        <w:kinsoku/>
        <w:wordWrap/>
        <w:overflowPunct/>
        <w:topLinePunct w:val="0"/>
        <w:autoSpaceDE/>
        <w:autoSpaceDN/>
        <w:bidi w:val="0"/>
        <w:adjustRightInd/>
        <w:spacing w:before="157" w:beforeLines="50"/>
        <w:ind w:leftChars="0"/>
        <w:textAlignment w:val="auto"/>
        <w:rPr>
          <w:rFonts w:hint="default" w:eastAsia="宋体" w:cs="Times New Roman"/>
          <w:color w:val="auto"/>
          <w:sz w:val="21"/>
          <w:szCs w:val="21"/>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believe the objective of Option 1 and Option 2 is not exclusive. If per-band NW configuration introduced, we prefer Option 1, Otherwise, Option 2 is preferred.</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Generally Option 1 and Option 2 are reasonable, only introducing an additional UE capability for the case of inter-f measurement in inter-band FR1. </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following rules can be used to identify whether Option 1 or Option 2. If both of them are satisfied, Option 2 is preferred, otherwise, Option 1 is preferred.</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ind w:leftChars="100"/>
        <w:textAlignment w:val="auto"/>
        <w:rPr>
          <w:rFonts w:hint="eastAsia" w:eastAsia="宋体"/>
          <w:b/>
          <w:bCs/>
          <w:color w:val="auto"/>
          <w:sz w:val="21"/>
          <w:szCs w:val="21"/>
          <w:lang w:val="en-US" w:eastAsia="zh-CN"/>
        </w:rPr>
      </w:pPr>
      <w:r>
        <w:rPr>
          <w:rFonts w:hint="eastAsia" w:eastAsia="宋体"/>
          <w:b/>
          <w:bCs/>
          <w:color w:val="auto"/>
          <w:sz w:val="21"/>
          <w:szCs w:val="21"/>
          <w:lang w:val="en-US" w:eastAsia="zh-CN"/>
        </w:rPr>
        <w:t>-</w:t>
      </w:r>
      <w:r>
        <w:rPr>
          <w:rFonts w:hint="eastAsia" w:eastAsia="宋体"/>
          <w:b/>
          <w:bCs/>
          <w:color w:val="auto"/>
          <w:sz w:val="21"/>
          <w:szCs w:val="21"/>
          <w:lang w:val="en-US" w:eastAsia="zh-CN"/>
        </w:rPr>
        <w:tab/>
      </w:r>
      <w:r>
        <w:rPr>
          <w:rFonts w:hint="eastAsia" w:eastAsia="宋体"/>
          <w:b/>
          <w:bCs/>
          <w:color w:val="auto"/>
          <w:sz w:val="21"/>
          <w:szCs w:val="21"/>
          <w:lang w:val="en-US" w:eastAsia="zh-CN"/>
        </w:rPr>
        <w:t>SFN and frame boundary across serving cell and inter-frequency neighbor cells is aligned, and</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ind w:leftChars="100"/>
        <w:textAlignment w:val="auto"/>
        <w:rPr>
          <w:rFonts w:hint="default" w:eastAsia="宋体" w:cs="Times New Roman"/>
          <w:b/>
          <w:bCs/>
          <w:color w:val="auto"/>
          <w:sz w:val="21"/>
          <w:szCs w:val="21"/>
          <w:highlight w:val="none"/>
          <w:lang w:val="en-US" w:eastAsia="zh-CN" w:bidi="ar-SA"/>
        </w:rPr>
      </w:pPr>
      <w:r>
        <w:rPr>
          <w:rFonts w:hint="eastAsia" w:eastAsia="宋体"/>
          <w:b/>
          <w:bCs/>
          <w:color w:val="auto"/>
          <w:sz w:val="21"/>
          <w:szCs w:val="21"/>
          <w:lang w:val="en-US" w:eastAsia="zh-CN"/>
        </w:rPr>
        <w:t>-</w:t>
      </w:r>
      <w:r>
        <w:rPr>
          <w:rFonts w:hint="eastAsia" w:eastAsia="宋体"/>
          <w:b/>
          <w:bCs/>
          <w:color w:val="auto"/>
          <w:sz w:val="21"/>
          <w:szCs w:val="21"/>
          <w:lang w:val="en-US" w:eastAsia="zh-CN"/>
        </w:rPr>
        <w:tab/>
      </w:r>
      <w:r>
        <w:rPr>
          <w:rFonts w:hint="eastAsia" w:eastAsia="宋体"/>
          <w:b/>
          <w:bCs/>
          <w:color w:val="auto"/>
          <w:sz w:val="21"/>
          <w:szCs w:val="21"/>
          <w:lang w:val="en-US" w:eastAsia="zh-CN"/>
        </w:rPr>
        <w:t>the timing of SSBs across serving cell and inter-frequency neighbor cells are aligned</w:t>
      </w:r>
    </w:p>
    <w:p>
      <w:pPr>
        <w:keepNext w:val="0"/>
        <w:keepLines w:val="0"/>
        <w:pageBreakBefore w:val="0"/>
        <w:widowControl/>
        <w:kinsoku/>
        <w:wordWrap/>
        <w:overflowPunct/>
        <w:topLinePunct w:val="0"/>
        <w:autoSpaceDE/>
        <w:autoSpaceDN/>
        <w:bidi w:val="0"/>
        <w:adjustRightInd/>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Re-using the configuration signaling of legacy gap, only 1 bit distinguishing between legacy gap and NCSG is needed.</w:t>
      </w:r>
    </w:p>
    <w:p>
      <w:pPr>
        <w:keepNext w:val="0"/>
        <w:keepLines w:val="0"/>
        <w:pageBreakBefore w:val="0"/>
        <w:widowControl/>
        <w:kinsoku/>
        <w:wordWrap/>
        <w:overflowPunct/>
        <w:topLinePunct w:val="0"/>
        <w:autoSpaceDE/>
        <w:autoSpaceDN/>
        <w:bidi w:val="0"/>
        <w:adjustRightInd/>
        <w:spacing w:before="157" w:beforeLines="50"/>
        <w:textAlignment w:val="auto"/>
        <w:rPr>
          <w:rFonts w:hint="eastAsia"/>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Same as the agreed solution in pre-configured MG, not introducing any transformation mechanism, re-configuration is OK.</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R4-2120415, </w:t>
      </w:r>
      <w:r>
        <w:rPr>
          <w:rFonts w:hint="default"/>
          <w:color w:val="auto"/>
          <w:lang w:val="en-US" w:eastAsia="zh-CN"/>
        </w:rPr>
        <w:t>“</w:t>
      </w:r>
      <w:r>
        <w:rPr>
          <w:rFonts w:hint="eastAsia"/>
          <w:color w:val="auto"/>
          <w:lang w:val="en-US" w:eastAsia="zh-CN"/>
        </w:rPr>
        <w:t>WF on R17 NR MG enhancement - NCSG</w:t>
      </w:r>
      <w:r>
        <w:rPr>
          <w:rFonts w:hint="default"/>
          <w:color w:val="auto"/>
          <w:lang w:val="en-US" w:eastAsia="zh-CN"/>
        </w:rPr>
        <w:t>”</w:t>
      </w:r>
      <w:r>
        <w:rPr>
          <w:rFonts w:hint="eastAsia"/>
          <w:color w:val="auto"/>
          <w:lang w:val="en-US" w:eastAsia="zh-CN"/>
        </w:rPr>
        <w:t xml:space="preserve">, Apple. </w:t>
      </w:r>
    </w:p>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3140F1"/>
    <w:multiLevelType w:val="multilevel"/>
    <w:tmpl w:val="253140F1"/>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420"/>
        </w:tabs>
        <w:ind w:left="840" w:leftChars="0" w:hanging="420" w:firstLineChars="0"/>
      </w:pPr>
      <w:rPr>
        <w:rFonts w:hint="default" w:ascii="微软雅黑" w:hAnsi="微软雅黑"/>
      </w:rPr>
    </w:lvl>
    <w:lvl w:ilvl="2" w:tentative="0">
      <w:start w:val="1"/>
      <w:numFmt w:val="bullet"/>
      <w:lvlText w:val=""/>
      <w:lvlJc w:val="left"/>
      <w:pPr>
        <w:tabs>
          <w:tab w:val="left" w:pos="840"/>
        </w:tabs>
        <w:ind w:left="1260" w:leftChars="0" w:hanging="420" w:firstLineChars="0"/>
      </w:pPr>
      <w:rPr>
        <w:rFonts w:hint="default" w:ascii="微软雅黑" w:hAnsi="微软雅黑"/>
      </w:rPr>
    </w:lvl>
    <w:lvl w:ilvl="3" w:tentative="0">
      <w:start w:val="1"/>
      <w:numFmt w:val="bullet"/>
      <w:lvlText w:val=""/>
      <w:lvlJc w:val="left"/>
      <w:pPr>
        <w:tabs>
          <w:tab w:val="left" w:pos="1260"/>
        </w:tabs>
        <w:ind w:left="1680" w:leftChars="0" w:hanging="420" w:firstLineChars="0"/>
      </w:pPr>
      <w:rPr>
        <w:rFonts w:hint="default" w:ascii="微软雅黑" w:hAnsi="微软雅黑"/>
      </w:rPr>
    </w:lvl>
    <w:lvl w:ilvl="4" w:tentative="0">
      <w:start w:val="1"/>
      <w:numFmt w:val="bullet"/>
      <w:lvlText w:val=""/>
      <w:lvlJc w:val="left"/>
      <w:pPr>
        <w:tabs>
          <w:tab w:val="left" w:pos="1680"/>
        </w:tabs>
        <w:ind w:left="2100" w:leftChars="0" w:hanging="420" w:firstLineChars="0"/>
      </w:pPr>
      <w:rPr>
        <w:rFonts w:hint="default" w:ascii="微软雅黑" w:hAnsi="微软雅黑"/>
      </w:rPr>
    </w:lvl>
    <w:lvl w:ilvl="5" w:tentative="0">
      <w:start w:val="1"/>
      <w:numFmt w:val="bullet"/>
      <w:lvlText w:val=""/>
      <w:lvlJc w:val="left"/>
      <w:pPr>
        <w:tabs>
          <w:tab w:val="left" w:pos="2100"/>
        </w:tabs>
        <w:ind w:left="2520" w:leftChars="0" w:hanging="420" w:firstLineChars="0"/>
      </w:pPr>
      <w:rPr>
        <w:rFonts w:hint="default" w:ascii="微软雅黑" w:hAnsi="微软雅黑"/>
      </w:rPr>
    </w:lvl>
    <w:lvl w:ilvl="6" w:tentative="0">
      <w:start w:val="1"/>
      <w:numFmt w:val="bullet"/>
      <w:lvlText w:val=""/>
      <w:lvlJc w:val="left"/>
      <w:pPr>
        <w:tabs>
          <w:tab w:val="left" w:pos="2520"/>
        </w:tabs>
        <w:ind w:left="2940" w:leftChars="0" w:hanging="420" w:firstLineChars="0"/>
      </w:pPr>
      <w:rPr>
        <w:rFonts w:hint="default" w:ascii="微软雅黑" w:hAnsi="微软雅黑"/>
      </w:rPr>
    </w:lvl>
    <w:lvl w:ilvl="7" w:tentative="0">
      <w:start w:val="1"/>
      <w:numFmt w:val="bullet"/>
      <w:lvlText w:val=""/>
      <w:lvlJc w:val="left"/>
      <w:pPr>
        <w:tabs>
          <w:tab w:val="left" w:pos="2940"/>
        </w:tabs>
        <w:ind w:left="3360" w:leftChars="0" w:hanging="420" w:firstLineChars="0"/>
      </w:pPr>
      <w:rPr>
        <w:rFonts w:hint="default" w:ascii="微软雅黑" w:hAnsi="微软雅黑"/>
      </w:rPr>
    </w:lvl>
    <w:lvl w:ilvl="8" w:tentative="0">
      <w:start w:val="1"/>
      <w:numFmt w:val="bullet"/>
      <w:lvlText w:val=""/>
      <w:lvlJc w:val="left"/>
      <w:pPr>
        <w:tabs>
          <w:tab w:val="left" w:pos="3360"/>
        </w:tabs>
        <w:ind w:left="3780" w:leftChars="0" w:hanging="420" w:firstLineChars="0"/>
      </w:pPr>
      <w:rPr>
        <w:rFonts w:hint="default" w:ascii="微软雅黑" w:hAnsi="微软雅黑"/>
      </w:rPr>
    </w:lvl>
  </w:abstractNum>
  <w:abstractNum w:abstractNumId="3">
    <w:nsid w:val="268A6B30"/>
    <w:multiLevelType w:val="singleLevel"/>
    <w:tmpl w:val="268A6B30"/>
    <w:lvl w:ilvl="0" w:tentative="0">
      <w:start w:val="1"/>
      <w:numFmt w:val="bullet"/>
      <w:lvlText w:val=""/>
      <w:lvlJc w:val="left"/>
      <w:pPr>
        <w:ind w:left="420" w:hanging="420"/>
      </w:pPr>
      <w:rPr>
        <w:rFonts w:hint="default" w:ascii="Wingdings" w:hAnsi="Wingdings"/>
      </w:rPr>
    </w:lvl>
  </w:abstractNum>
  <w:abstractNum w:abstractNumId="4">
    <w:nsid w:val="30D002E0"/>
    <w:multiLevelType w:val="singleLevel"/>
    <w:tmpl w:val="30D002E0"/>
    <w:lvl w:ilvl="0" w:tentative="0">
      <w:start w:val="1"/>
      <w:numFmt w:val="bullet"/>
      <w:lvlText w:val=""/>
      <w:lvlJc w:val="left"/>
      <w:pPr>
        <w:ind w:left="420" w:hanging="420"/>
      </w:pPr>
      <w:rPr>
        <w:rFonts w:hint="default" w:ascii="Wingdings" w:hAnsi="Wingdings"/>
      </w:rPr>
    </w:lvl>
  </w:abstractNum>
  <w:abstractNum w:abstractNumId="5">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322B7B"/>
    <w:multiLevelType w:val="singleLevel"/>
    <w:tmpl w:val="3A322B7B"/>
    <w:lvl w:ilvl="0" w:tentative="0">
      <w:start w:val="1"/>
      <w:numFmt w:val="bullet"/>
      <w:lvlText w:val=""/>
      <w:lvlJc w:val="left"/>
      <w:pPr>
        <w:ind w:left="420" w:hanging="420"/>
      </w:pPr>
      <w:rPr>
        <w:rFonts w:hint="default" w:ascii="Wingdings" w:hAnsi="Wingdings"/>
      </w:rPr>
    </w:lvl>
  </w:abstractNum>
  <w:abstractNum w:abstractNumId="7">
    <w:nsid w:val="4AADCFD5"/>
    <w:multiLevelType w:val="singleLevel"/>
    <w:tmpl w:val="4AADCFD5"/>
    <w:lvl w:ilvl="0" w:tentative="0">
      <w:start w:val="1"/>
      <w:numFmt w:val="bullet"/>
      <w:lvlText w:val=""/>
      <w:lvlJc w:val="left"/>
      <w:pPr>
        <w:ind w:left="420" w:hanging="420"/>
      </w:pPr>
      <w:rPr>
        <w:rFonts w:hint="default" w:ascii="Wingdings" w:hAnsi="Wingdings"/>
      </w:rPr>
    </w:lvl>
  </w:abstractNum>
  <w:abstractNum w:abstractNumId="8">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11">
    <w:nsid w:val="67267C66"/>
    <w:multiLevelType w:val="multilevel"/>
    <w:tmpl w:val="67267C66"/>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2">
    <w:nsid w:val="6989BF3D"/>
    <w:multiLevelType w:val="singleLevel"/>
    <w:tmpl w:val="6989BF3D"/>
    <w:lvl w:ilvl="0" w:tentative="0">
      <w:start w:val="1"/>
      <w:numFmt w:val="bullet"/>
      <w:lvlText w:val=""/>
      <w:lvlJc w:val="left"/>
      <w:pPr>
        <w:ind w:left="420" w:hanging="420"/>
      </w:pPr>
      <w:rPr>
        <w:rFonts w:hint="default" w:ascii="Wingdings" w:hAnsi="Wingdings"/>
      </w:rPr>
    </w:lvl>
  </w:abstractNum>
  <w:abstractNum w:abstractNumId="1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3"/>
  </w:num>
  <w:num w:numId="2">
    <w:abstractNumId w:val="8"/>
  </w:num>
  <w:num w:numId="3">
    <w:abstractNumId w:val="1"/>
  </w:num>
  <w:num w:numId="4">
    <w:abstractNumId w:val="11"/>
  </w:num>
  <w:num w:numId="5">
    <w:abstractNumId w:val="5"/>
  </w:num>
  <w:num w:numId="6">
    <w:abstractNumId w:val="7"/>
  </w:num>
  <w:num w:numId="7">
    <w:abstractNumId w:val="12"/>
  </w:num>
  <w:num w:numId="8">
    <w:abstractNumId w:val="3"/>
  </w:num>
  <w:num w:numId="9">
    <w:abstractNumId w:val="9"/>
  </w:num>
  <w:num w:numId="10">
    <w:abstractNumId w:val="0"/>
  </w:num>
  <w:num w:numId="11">
    <w:abstractNumId w:val="6"/>
  </w:num>
  <w:num w:numId="12">
    <w:abstractNumId w:val="2"/>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E676E0"/>
    <w:rsid w:val="05847CFD"/>
    <w:rsid w:val="05C42923"/>
    <w:rsid w:val="0652333F"/>
    <w:rsid w:val="06ED5018"/>
    <w:rsid w:val="07CD3CDD"/>
    <w:rsid w:val="08044E83"/>
    <w:rsid w:val="0855671D"/>
    <w:rsid w:val="09716BCA"/>
    <w:rsid w:val="097F2D72"/>
    <w:rsid w:val="09E644B8"/>
    <w:rsid w:val="0A685857"/>
    <w:rsid w:val="0B5A119A"/>
    <w:rsid w:val="0BB0429A"/>
    <w:rsid w:val="0D206748"/>
    <w:rsid w:val="11C13E7B"/>
    <w:rsid w:val="12911329"/>
    <w:rsid w:val="148F5721"/>
    <w:rsid w:val="15705D92"/>
    <w:rsid w:val="16CA6482"/>
    <w:rsid w:val="170F06AA"/>
    <w:rsid w:val="180A6E32"/>
    <w:rsid w:val="183F2CD2"/>
    <w:rsid w:val="18CD0507"/>
    <w:rsid w:val="1AD01A1B"/>
    <w:rsid w:val="1C177B08"/>
    <w:rsid w:val="1C9001C6"/>
    <w:rsid w:val="1CBA2101"/>
    <w:rsid w:val="1D223E0B"/>
    <w:rsid w:val="1E853F6F"/>
    <w:rsid w:val="1ECC1E3C"/>
    <w:rsid w:val="1FC333DE"/>
    <w:rsid w:val="20911BDA"/>
    <w:rsid w:val="21244EB1"/>
    <w:rsid w:val="21F13629"/>
    <w:rsid w:val="24122135"/>
    <w:rsid w:val="24743B23"/>
    <w:rsid w:val="252319E3"/>
    <w:rsid w:val="26BB1419"/>
    <w:rsid w:val="290F5973"/>
    <w:rsid w:val="2A7E505C"/>
    <w:rsid w:val="2A957896"/>
    <w:rsid w:val="2AC536C8"/>
    <w:rsid w:val="2BC05B2C"/>
    <w:rsid w:val="2BD617C5"/>
    <w:rsid w:val="2C112837"/>
    <w:rsid w:val="2F2F0FC8"/>
    <w:rsid w:val="2F4C6F2C"/>
    <w:rsid w:val="30EA720B"/>
    <w:rsid w:val="31B14C9E"/>
    <w:rsid w:val="34616D94"/>
    <w:rsid w:val="34646CFF"/>
    <w:rsid w:val="35B06C6A"/>
    <w:rsid w:val="36D37423"/>
    <w:rsid w:val="37396B27"/>
    <w:rsid w:val="3805464D"/>
    <w:rsid w:val="3A185287"/>
    <w:rsid w:val="3A692CD0"/>
    <w:rsid w:val="3B673620"/>
    <w:rsid w:val="3B9A1F29"/>
    <w:rsid w:val="3CE4646B"/>
    <w:rsid w:val="3D5E7AA8"/>
    <w:rsid w:val="3D6F2596"/>
    <w:rsid w:val="3D8C74DB"/>
    <w:rsid w:val="3E2D152D"/>
    <w:rsid w:val="405F175E"/>
    <w:rsid w:val="40C765F3"/>
    <w:rsid w:val="42F242B1"/>
    <w:rsid w:val="42F869D2"/>
    <w:rsid w:val="43553536"/>
    <w:rsid w:val="451632B9"/>
    <w:rsid w:val="454402A0"/>
    <w:rsid w:val="45F60A50"/>
    <w:rsid w:val="46B036BF"/>
    <w:rsid w:val="46E71A66"/>
    <w:rsid w:val="4718026A"/>
    <w:rsid w:val="47282363"/>
    <w:rsid w:val="476C03BB"/>
    <w:rsid w:val="49E55BC5"/>
    <w:rsid w:val="4A102C0D"/>
    <w:rsid w:val="4BC553A2"/>
    <w:rsid w:val="4C1C63D6"/>
    <w:rsid w:val="4DCA1D22"/>
    <w:rsid w:val="4E4A2325"/>
    <w:rsid w:val="501A6C55"/>
    <w:rsid w:val="50A01AF8"/>
    <w:rsid w:val="51661825"/>
    <w:rsid w:val="51B14BED"/>
    <w:rsid w:val="525C1CEF"/>
    <w:rsid w:val="53930AB8"/>
    <w:rsid w:val="53C64B93"/>
    <w:rsid w:val="55B1164D"/>
    <w:rsid w:val="55B4735E"/>
    <w:rsid w:val="5612655C"/>
    <w:rsid w:val="56371459"/>
    <w:rsid w:val="57607CBC"/>
    <w:rsid w:val="59DA647E"/>
    <w:rsid w:val="5EB44FC0"/>
    <w:rsid w:val="5FBA395F"/>
    <w:rsid w:val="635902CD"/>
    <w:rsid w:val="6438512E"/>
    <w:rsid w:val="64706BBE"/>
    <w:rsid w:val="64F2095B"/>
    <w:rsid w:val="66790DA1"/>
    <w:rsid w:val="67A858DB"/>
    <w:rsid w:val="684A253E"/>
    <w:rsid w:val="692D0998"/>
    <w:rsid w:val="69A833BD"/>
    <w:rsid w:val="69F32637"/>
    <w:rsid w:val="6B200619"/>
    <w:rsid w:val="6BAB5351"/>
    <w:rsid w:val="6DDE3DAF"/>
    <w:rsid w:val="70B326CC"/>
    <w:rsid w:val="715F4C2D"/>
    <w:rsid w:val="72137194"/>
    <w:rsid w:val="72BF60CA"/>
    <w:rsid w:val="73CC642D"/>
    <w:rsid w:val="753811DE"/>
    <w:rsid w:val="75C759C1"/>
    <w:rsid w:val="762D64F3"/>
    <w:rsid w:val="76916AA8"/>
    <w:rsid w:val="77173999"/>
    <w:rsid w:val="775B4604"/>
    <w:rsid w:val="77C067C3"/>
    <w:rsid w:val="78911E31"/>
    <w:rsid w:val="78BF4564"/>
    <w:rsid w:val="79B130CA"/>
    <w:rsid w:val="79B5214C"/>
    <w:rsid w:val="7A9367CB"/>
    <w:rsid w:val="7A947426"/>
    <w:rsid w:val="7AF22571"/>
    <w:rsid w:val="7BA412DA"/>
    <w:rsid w:val="7C1C35A7"/>
    <w:rsid w:val="7C45431D"/>
    <w:rsid w:val="7CA64370"/>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18</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2022-01-10T02:36:15Z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